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N w:val="0"/>
        <w:rPr>
          <w:b/>
          <w:bCs/>
          <w:sz w:val="84"/>
          <w:szCs w:val="84"/>
        </w:rPr>
      </w:pPr>
      <w:bookmarkStart w:id="0" w:name="_GoBack"/>
      <w:bookmarkEnd w:id="0"/>
    </w:p>
    <w:p>
      <w:pPr>
        <w:autoSpaceDN w:val="0"/>
        <w:rPr>
          <w:b/>
          <w:bCs/>
          <w:sz w:val="84"/>
          <w:szCs w:val="84"/>
        </w:rPr>
      </w:pPr>
    </w:p>
    <w:p>
      <w:pPr>
        <w:autoSpaceDN w:val="0"/>
        <w:rPr>
          <w:b/>
          <w:bCs/>
          <w:sz w:val="84"/>
          <w:szCs w:val="84"/>
        </w:rPr>
      </w:pPr>
    </w:p>
    <w:p>
      <w:pPr>
        <w:autoSpaceDN w:val="0"/>
        <w:jc w:val="center"/>
        <w:rPr>
          <w:rFonts w:ascii="方正隶书_GBK" w:eastAsia="方正隶书_GBK"/>
          <w:bCs/>
          <w:sz w:val="84"/>
          <w:szCs w:val="84"/>
        </w:rPr>
      </w:pPr>
      <w:r>
        <w:rPr>
          <w:rFonts w:eastAsia="方正隶书_GBK"/>
          <w:bCs/>
          <w:sz w:val="84"/>
          <w:szCs w:val="84"/>
        </w:rPr>
        <w:t>202</w:t>
      </w:r>
      <w:r>
        <w:rPr>
          <w:rFonts w:eastAsia="方正隶书_GBK" w:hint="eastAsia"/>
          <w:bCs/>
          <w:sz w:val="84"/>
          <w:szCs w:val="84"/>
        </w:rPr>
        <w:t>3</w:t>
      </w:r>
      <w:r>
        <w:rPr>
          <w:rFonts w:ascii="方正隶书_GBK" w:eastAsia="方正隶书_GBK" w:hint="eastAsia"/>
          <w:bCs/>
          <w:sz w:val="84"/>
          <w:szCs w:val="84"/>
        </w:rPr>
        <w:t>年度</w:t>
      </w:r>
    </w:p>
    <w:p>
      <w:pPr>
        <w:autoSpaceDN w:val="0"/>
        <w:jc w:val="center"/>
        <w:rPr>
          <w:rFonts w:ascii="方正隶书_GBK" w:eastAsia="方正隶书_GBK"/>
          <w:bCs/>
          <w:sz w:val="84"/>
          <w:szCs w:val="84"/>
        </w:rPr>
      </w:pPr>
    </w:p>
    <w:p>
      <w:pPr>
        <w:autoSpaceDN w:val="0"/>
        <w:jc w:val="center"/>
        <w:rPr>
          <w:rFonts w:ascii="方正隶书_GBK" w:eastAsia="方正隶书_GBK"/>
          <w:bCs/>
          <w:sz w:val="72"/>
          <w:szCs w:val="84"/>
        </w:rPr>
      </w:pPr>
      <w:r>
        <w:rPr>
          <w:rFonts w:ascii="方正隶书_GBK" w:eastAsia="方正隶书_GBK" w:hint="eastAsia"/>
          <w:bCs/>
          <w:sz w:val="72"/>
          <w:szCs w:val="84"/>
        </w:rPr>
        <w:t>济南机场海关部门决算</w:t>
      </w:r>
    </w:p>
    <w:p>
      <w:pPr>
        <w:autoSpaceDN w:val="0"/>
        <w:jc w:val="center"/>
        <w:rPr>
          <w:b/>
          <w:bCs/>
          <w:sz w:val="84"/>
          <w:szCs w:val="84"/>
        </w:rPr>
      </w:pPr>
      <w:r>
        <w:rPr>
          <w:b/>
          <w:bCs/>
          <w:sz w:val="84"/>
          <w:szCs w:val="84"/>
        </w:rPr>
        <w:br w:type="page"/>
      </w:r>
      <w:r>
        <w:rPr>
          <w:rFonts w:ascii="方正黑体_GBK" w:eastAsia="方正黑体_GBK" w:hint="eastAsia"/>
          <w:bCs/>
          <w:sz w:val="84"/>
          <w:szCs w:val="84"/>
        </w:rPr>
        <w:t>目</w:t>
      </w:r>
      <w:r>
        <w:rPr>
          <w:rFonts w:ascii="方正黑体_GBK" w:eastAsia="方正黑体_GBK"/>
          <w:bCs/>
          <w:sz w:val="84"/>
          <w:szCs w:val="84"/>
        </w:rPr>
        <w:t xml:space="preserve">  </w:t>
      </w:r>
      <w:r>
        <w:rPr>
          <w:rFonts w:ascii="方正黑体_GBK" w:eastAsia="方正黑体_GBK" w:hint="eastAsia"/>
          <w:bCs/>
          <w:sz w:val="84"/>
          <w:szCs w:val="84"/>
        </w:rPr>
        <w:t>录</w:t>
      </w:r>
    </w:p>
    <w:p>
      <w:pPr>
        <w:autoSpaceDN w:val="0"/>
        <w:spacing w:line="560" w:lineRule="exact"/>
        <w:rPr>
          <w:rFonts w:eastAsia="方正仿宋_GBK"/>
          <w:b/>
          <w:sz w:val="44"/>
          <w:szCs w:val="44"/>
        </w:rPr>
      </w:pPr>
      <w:r>
        <w:rPr>
          <w:rFonts w:eastAsia="方正仿宋_GBK" w:hint="eastAsia"/>
          <w:b/>
          <w:sz w:val="44"/>
          <w:szCs w:val="44"/>
        </w:rPr>
        <w:t>第一部分</w:t>
      </w:r>
      <w:r>
        <w:rPr>
          <w:rFonts w:eastAsia="方正仿宋_GBK"/>
          <w:b/>
          <w:sz w:val="44"/>
          <w:szCs w:val="44"/>
        </w:rPr>
        <w:t xml:space="preserve"> </w:t>
      </w:r>
      <w:r>
        <w:rPr>
          <w:rFonts w:eastAsia="方正仿宋_GBK" w:hint="eastAsia"/>
          <w:b/>
          <w:sz w:val="44"/>
          <w:szCs w:val="44"/>
        </w:rPr>
        <w:t>济南机场海关概况</w:t>
      </w:r>
    </w:p>
    <w:p>
      <w:pPr>
        <w:autoSpaceDN w:val="0"/>
        <w:spacing w:line="560" w:lineRule="exact"/>
        <w:ind w:firstLineChars="200" w:firstLine="720"/>
        <w:rPr>
          <w:rFonts w:eastAsia="方正仿宋_GBK"/>
          <w:sz w:val="36"/>
          <w:szCs w:val="36"/>
        </w:rPr>
      </w:pPr>
      <w:r>
        <w:rPr>
          <w:rFonts w:eastAsia="方正仿宋_GBK" w:hint="eastAsia"/>
          <w:sz w:val="36"/>
          <w:szCs w:val="36"/>
        </w:rPr>
        <w:t>一、本关概况</w:t>
      </w:r>
    </w:p>
    <w:p>
      <w:pPr>
        <w:autoSpaceDN w:val="0"/>
        <w:spacing w:line="560" w:lineRule="exact"/>
        <w:ind w:firstLineChars="200" w:firstLine="720"/>
        <w:rPr>
          <w:rFonts w:eastAsia="方正仿宋_GBK"/>
          <w:sz w:val="36"/>
          <w:szCs w:val="36"/>
        </w:rPr>
      </w:pPr>
      <w:r>
        <w:rPr>
          <w:rFonts w:eastAsia="方正仿宋_GBK" w:hint="eastAsia"/>
          <w:sz w:val="36"/>
          <w:szCs w:val="36"/>
        </w:rPr>
        <w:t>二、机构设置</w:t>
      </w:r>
    </w:p>
    <w:p>
      <w:pPr>
        <w:autoSpaceDN w:val="0"/>
        <w:spacing w:line="560" w:lineRule="exact"/>
        <w:rPr>
          <w:rFonts w:eastAsia="方正仿宋_GBK"/>
          <w:b/>
          <w:sz w:val="44"/>
          <w:szCs w:val="44"/>
        </w:rPr>
      </w:pPr>
      <w:r>
        <w:rPr>
          <w:rFonts w:eastAsia="方正仿宋_GBK" w:hint="eastAsia"/>
          <w:b/>
          <w:sz w:val="44"/>
          <w:szCs w:val="44"/>
        </w:rPr>
        <w:t>第二部分</w:t>
      </w:r>
      <w:r>
        <w:rPr>
          <w:rFonts w:eastAsia="方正仿宋_GBK"/>
          <w:b/>
          <w:sz w:val="44"/>
          <w:szCs w:val="44"/>
        </w:rPr>
        <w:t xml:space="preserve"> 202</w:t>
      </w:r>
      <w:r>
        <w:rPr>
          <w:rFonts w:eastAsia="方正仿宋_GBK" w:hint="eastAsia"/>
          <w:b/>
          <w:sz w:val="44"/>
          <w:szCs w:val="44"/>
        </w:rPr>
        <w:t>3年度部门决算表</w:t>
      </w:r>
    </w:p>
    <w:p>
      <w:pPr>
        <w:autoSpaceDN w:val="0"/>
        <w:spacing w:line="560" w:lineRule="exact"/>
        <w:ind w:firstLineChars="200" w:firstLine="720"/>
        <w:rPr>
          <w:rFonts w:eastAsia="方正仿宋_GBK"/>
          <w:sz w:val="36"/>
          <w:szCs w:val="36"/>
        </w:rPr>
      </w:pPr>
      <w:r>
        <w:rPr>
          <w:rFonts w:eastAsia="方正仿宋_GBK" w:hint="eastAsia"/>
          <w:sz w:val="36"/>
          <w:szCs w:val="36"/>
        </w:rPr>
        <w:t>一、收入支出决算总表</w:t>
      </w:r>
    </w:p>
    <w:p>
      <w:pPr>
        <w:autoSpaceDN w:val="0"/>
        <w:spacing w:line="560" w:lineRule="exact"/>
        <w:ind w:firstLineChars="200" w:firstLine="720"/>
        <w:rPr>
          <w:rFonts w:eastAsia="方正仿宋_GBK"/>
          <w:sz w:val="36"/>
          <w:szCs w:val="36"/>
        </w:rPr>
      </w:pPr>
      <w:r>
        <w:rPr>
          <w:rFonts w:eastAsia="方正仿宋_GBK" w:hint="eastAsia"/>
          <w:sz w:val="36"/>
          <w:szCs w:val="36"/>
        </w:rPr>
        <w:t>二、收入决算表</w:t>
      </w:r>
    </w:p>
    <w:p>
      <w:pPr>
        <w:autoSpaceDN w:val="0"/>
        <w:spacing w:line="560" w:lineRule="exact"/>
        <w:ind w:firstLineChars="200" w:firstLine="720"/>
        <w:rPr>
          <w:rFonts w:eastAsia="方正仿宋_GBK"/>
          <w:sz w:val="36"/>
          <w:szCs w:val="36"/>
        </w:rPr>
      </w:pPr>
      <w:r>
        <w:rPr>
          <w:rFonts w:eastAsia="方正仿宋_GBK" w:hint="eastAsia"/>
          <w:sz w:val="36"/>
          <w:szCs w:val="36"/>
        </w:rPr>
        <w:t>三、支出决算表</w:t>
      </w:r>
    </w:p>
    <w:p>
      <w:pPr>
        <w:autoSpaceDN w:val="0"/>
        <w:spacing w:line="560" w:lineRule="exact"/>
        <w:ind w:firstLineChars="200" w:firstLine="720"/>
        <w:rPr>
          <w:rFonts w:eastAsia="方正仿宋_GBK"/>
          <w:sz w:val="36"/>
          <w:szCs w:val="36"/>
        </w:rPr>
      </w:pPr>
      <w:r>
        <w:rPr>
          <w:rFonts w:eastAsia="方正仿宋_GBK" w:hint="eastAsia"/>
          <w:sz w:val="36"/>
          <w:szCs w:val="36"/>
        </w:rPr>
        <w:t>四、财政拨款收入支出决算总表</w:t>
      </w:r>
    </w:p>
    <w:p>
      <w:pPr>
        <w:autoSpaceDN w:val="0"/>
        <w:spacing w:line="560" w:lineRule="exact"/>
        <w:ind w:firstLineChars="200" w:firstLine="720"/>
        <w:rPr>
          <w:rFonts w:eastAsia="方正仿宋_GBK"/>
          <w:sz w:val="36"/>
          <w:szCs w:val="36"/>
        </w:rPr>
      </w:pPr>
      <w:r>
        <w:rPr>
          <w:rFonts w:eastAsia="方正仿宋_GBK" w:hint="eastAsia"/>
          <w:sz w:val="36"/>
          <w:szCs w:val="36"/>
        </w:rPr>
        <w:t>五、一般公共预算财政拨款支出决算表</w:t>
      </w:r>
    </w:p>
    <w:p>
      <w:pPr>
        <w:autoSpaceDN w:val="0"/>
        <w:spacing w:line="560" w:lineRule="exact"/>
        <w:ind w:firstLineChars="200" w:firstLine="720"/>
        <w:rPr>
          <w:rFonts w:eastAsia="方正仿宋_GBK"/>
          <w:sz w:val="36"/>
          <w:szCs w:val="36"/>
        </w:rPr>
      </w:pPr>
      <w:r>
        <w:rPr>
          <w:rFonts w:eastAsia="方正仿宋_GBK" w:hint="eastAsia"/>
          <w:sz w:val="36"/>
          <w:szCs w:val="36"/>
        </w:rPr>
        <w:t>六、一般公共预算财政拨款基本支出决算表</w:t>
      </w:r>
    </w:p>
    <w:p>
      <w:pPr>
        <w:autoSpaceDN w:val="0"/>
        <w:spacing w:line="560" w:lineRule="exact"/>
        <w:ind w:firstLineChars="200" w:firstLine="720"/>
        <w:rPr>
          <w:rFonts w:eastAsia="方正仿宋_GBK"/>
          <w:sz w:val="36"/>
          <w:szCs w:val="36"/>
        </w:rPr>
      </w:pPr>
      <w:r>
        <w:rPr>
          <w:rFonts w:eastAsia="方正仿宋_GBK" w:hint="eastAsia"/>
          <w:sz w:val="36"/>
          <w:szCs w:val="36"/>
        </w:rPr>
        <w:t>七、一般公共预算财政拨款</w:t>
      </w:r>
      <w:r>
        <w:rPr>
          <w:rFonts w:eastAsia="方正仿宋_GBK"/>
          <w:sz w:val="36"/>
          <w:szCs w:val="36"/>
        </w:rPr>
        <w:t>“</w:t>
      </w:r>
      <w:r>
        <w:rPr>
          <w:rFonts w:eastAsia="方正仿宋_GBK" w:hint="eastAsia"/>
          <w:sz w:val="36"/>
          <w:szCs w:val="36"/>
        </w:rPr>
        <w:t>三公</w:t>
      </w:r>
      <w:r>
        <w:rPr>
          <w:rFonts w:eastAsia="方正仿宋_GBK"/>
          <w:sz w:val="36"/>
          <w:szCs w:val="36"/>
        </w:rPr>
        <w:t>”</w:t>
      </w:r>
      <w:r>
        <w:rPr>
          <w:rFonts w:eastAsia="方正仿宋_GBK" w:hint="eastAsia"/>
          <w:sz w:val="36"/>
          <w:szCs w:val="36"/>
        </w:rPr>
        <w:t>经费支出决算表</w:t>
      </w:r>
    </w:p>
    <w:p>
      <w:pPr>
        <w:autoSpaceDN w:val="0"/>
        <w:spacing w:line="560" w:lineRule="exact"/>
        <w:ind w:firstLineChars="200" w:firstLine="720"/>
        <w:rPr>
          <w:rFonts w:eastAsia="方正仿宋_GBK"/>
          <w:sz w:val="36"/>
          <w:szCs w:val="36"/>
        </w:rPr>
      </w:pPr>
      <w:r>
        <w:rPr>
          <w:rFonts w:eastAsia="方正仿宋_GBK" w:hint="eastAsia"/>
          <w:sz w:val="36"/>
          <w:szCs w:val="36"/>
        </w:rPr>
        <w:t>八、政府性基金预算财政拨款收入支出决算表</w:t>
      </w:r>
    </w:p>
    <w:p>
      <w:pPr>
        <w:autoSpaceDN w:val="0"/>
        <w:spacing w:line="560" w:lineRule="exact"/>
        <w:ind w:firstLineChars="200" w:firstLine="720"/>
        <w:rPr>
          <w:rFonts w:eastAsia="方正黑体_GBK"/>
          <w:sz w:val="44"/>
          <w:szCs w:val="44"/>
        </w:rPr>
      </w:pPr>
      <w:r>
        <w:rPr>
          <w:rFonts w:eastAsia="方正仿宋_GBK" w:hint="eastAsia"/>
          <w:sz w:val="36"/>
          <w:szCs w:val="36"/>
        </w:rPr>
        <w:t>九、国有资本经营预算财政拨款支出决算表</w:t>
      </w:r>
    </w:p>
    <w:p>
      <w:pPr>
        <w:autoSpaceDN w:val="0"/>
        <w:spacing w:line="560" w:lineRule="exact"/>
        <w:rPr>
          <w:rFonts w:eastAsia="方正仿宋_GBK"/>
          <w:b/>
          <w:sz w:val="44"/>
          <w:szCs w:val="44"/>
        </w:rPr>
      </w:pPr>
      <w:r>
        <w:rPr>
          <w:rFonts w:eastAsia="方正仿宋_GBK" w:hint="eastAsia"/>
          <w:b/>
          <w:sz w:val="44"/>
          <w:szCs w:val="44"/>
        </w:rPr>
        <w:t>第三部分</w:t>
      </w:r>
      <w:r>
        <w:rPr>
          <w:rFonts w:eastAsia="方正仿宋_GBK"/>
          <w:b/>
          <w:sz w:val="44"/>
          <w:szCs w:val="44"/>
        </w:rPr>
        <w:t xml:space="preserve"> 202</w:t>
      </w:r>
      <w:r>
        <w:rPr>
          <w:rFonts w:eastAsia="方正仿宋_GBK" w:hint="eastAsia"/>
          <w:b/>
          <w:sz w:val="44"/>
          <w:szCs w:val="44"/>
        </w:rPr>
        <w:t>3年度部门决算情况说明</w:t>
      </w:r>
    </w:p>
    <w:p>
      <w:pPr>
        <w:autoSpaceDN w:val="0"/>
        <w:spacing w:line="560" w:lineRule="exact"/>
        <w:ind w:firstLineChars="200" w:firstLine="720"/>
        <w:rPr>
          <w:rFonts w:eastAsia="方正仿宋_GBK"/>
          <w:sz w:val="36"/>
          <w:szCs w:val="36"/>
        </w:rPr>
      </w:pPr>
      <w:r>
        <w:rPr>
          <w:rFonts w:eastAsia="方正仿宋_GBK" w:hint="eastAsia"/>
          <w:sz w:val="36"/>
          <w:szCs w:val="36"/>
        </w:rPr>
        <w:t>一、收入支出决算总体情况说明</w:t>
      </w:r>
    </w:p>
    <w:p>
      <w:pPr>
        <w:autoSpaceDN w:val="0"/>
        <w:spacing w:line="560" w:lineRule="exact"/>
        <w:ind w:firstLineChars="200" w:firstLine="720"/>
        <w:rPr>
          <w:rFonts w:eastAsia="方正仿宋_GBK"/>
          <w:sz w:val="36"/>
          <w:szCs w:val="36"/>
        </w:rPr>
      </w:pPr>
      <w:r>
        <w:rPr>
          <w:rFonts w:eastAsia="方正仿宋_GBK" w:hint="eastAsia"/>
          <w:sz w:val="36"/>
          <w:szCs w:val="36"/>
        </w:rPr>
        <w:t>二、收入决算情况说明</w:t>
      </w:r>
    </w:p>
    <w:p>
      <w:pPr>
        <w:autoSpaceDN w:val="0"/>
        <w:spacing w:line="560" w:lineRule="exact"/>
        <w:ind w:firstLineChars="200" w:firstLine="720"/>
        <w:rPr>
          <w:rFonts w:eastAsia="方正仿宋_GBK"/>
          <w:sz w:val="36"/>
          <w:szCs w:val="36"/>
        </w:rPr>
      </w:pPr>
      <w:r>
        <w:rPr>
          <w:rFonts w:eastAsia="方正仿宋_GBK" w:hint="eastAsia"/>
          <w:sz w:val="36"/>
          <w:szCs w:val="36"/>
        </w:rPr>
        <w:t>三、支出决算情况说明</w:t>
      </w:r>
    </w:p>
    <w:p>
      <w:pPr>
        <w:autoSpaceDN w:val="0"/>
        <w:spacing w:line="560" w:lineRule="exact"/>
        <w:ind w:firstLineChars="200" w:firstLine="720"/>
        <w:rPr>
          <w:rFonts w:eastAsia="方正仿宋_GBK"/>
          <w:sz w:val="36"/>
          <w:szCs w:val="36"/>
        </w:rPr>
      </w:pPr>
      <w:r>
        <w:rPr>
          <w:rFonts w:eastAsia="方正仿宋_GBK" w:hint="eastAsia"/>
          <w:sz w:val="36"/>
          <w:szCs w:val="36"/>
        </w:rPr>
        <w:t>四、财政拨款收入支出总体情况说明</w:t>
      </w:r>
    </w:p>
    <w:p>
      <w:pPr>
        <w:autoSpaceDN w:val="0"/>
        <w:spacing w:line="560" w:lineRule="exact"/>
        <w:ind w:firstLineChars="200" w:firstLine="720"/>
        <w:rPr>
          <w:rFonts w:eastAsia="方正仿宋_GBK"/>
          <w:sz w:val="36"/>
          <w:szCs w:val="36"/>
        </w:rPr>
      </w:pPr>
      <w:r>
        <w:rPr>
          <w:rFonts w:eastAsia="方正仿宋_GBK" w:hint="eastAsia"/>
          <w:sz w:val="36"/>
          <w:szCs w:val="36"/>
        </w:rPr>
        <w:t>五、一般公共预算财政拨款支出决算情况说明</w:t>
      </w:r>
    </w:p>
    <w:p>
      <w:pPr>
        <w:autoSpaceDN w:val="0"/>
        <w:spacing w:line="560" w:lineRule="exact"/>
        <w:ind w:firstLineChars="200" w:firstLine="720"/>
        <w:rPr>
          <w:rFonts w:eastAsia="方正仿宋_GBK"/>
          <w:sz w:val="36"/>
          <w:szCs w:val="36"/>
        </w:rPr>
      </w:pPr>
      <w:r>
        <w:rPr>
          <w:rFonts w:eastAsia="方正仿宋_GBK" w:hint="eastAsia"/>
          <w:sz w:val="36"/>
          <w:szCs w:val="36"/>
        </w:rPr>
        <w:t>六、一般公共预算财政拨款基本支出决算情况说明</w:t>
      </w:r>
    </w:p>
    <w:p>
      <w:pPr>
        <w:autoSpaceDN w:val="0"/>
        <w:spacing w:line="560" w:lineRule="exact"/>
        <w:ind w:firstLineChars="200" w:firstLine="720"/>
        <w:rPr>
          <w:rFonts w:eastAsia="方正仿宋_GBK"/>
          <w:sz w:val="36"/>
          <w:szCs w:val="36"/>
        </w:rPr>
      </w:pPr>
      <w:r>
        <w:rPr>
          <w:rFonts w:eastAsia="方正仿宋_GBK" w:hint="eastAsia"/>
          <w:sz w:val="36"/>
          <w:szCs w:val="36"/>
        </w:rPr>
        <w:t>七、一般公共预算财政拨款</w:t>
      </w:r>
      <w:r>
        <w:rPr>
          <w:rFonts w:eastAsia="方正仿宋_GBK"/>
          <w:sz w:val="36"/>
          <w:szCs w:val="36"/>
        </w:rPr>
        <w:t>“</w:t>
      </w:r>
      <w:r>
        <w:rPr>
          <w:rFonts w:eastAsia="方正仿宋_GBK" w:hint="eastAsia"/>
          <w:sz w:val="36"/>
          <w:szCs w:val="36"/>
        </w:rPr>
        <w:t>三公</w:t>
      </w:r>
      <w:r>
        <w:rPr>
          <w:rFonts w:eastAsia="方正仿宋_GBK"/>
          <w:sz w:val="36"/>
          <w:szCs w:val="36"/>
        </w:rPr>
        <w:t>”</w:t>
      </w:r>
      <w:r>
        <w:rPr>
          <w:rFonts w:eastAsia="方正仿宋_GBK" w:hint="eastAsia"/>
          <w:sz w:val="36"/>
          <w:szCs w:val="36"/>
        </w:rPr>
        <w:t>经费支出决算情况说明</w:t>
      </w:r>
    </w:p>
    <w:p>
      <w:pPr>
        <w:autoSpaceDN w:val="0"/>
        <w:spacing w:line="560" w:lineRule="exact"/>
        <w:ind w:firstLineChars="200" w:firstLine="720"/>
        <w:rPr>
          <w:rFonts w:eastAsia="方正仿宋_GBK"/>
          <w:sz w:val="36"/>
          <w:szCs w:val="36"/>
        </w:rPr>
      </w:pPr>
      <w:r>
        <w:rPr>
          <w:rFonts w:eastAsia="方正仿宋_GBK" w:hint="eastAsia"/>
          <w:sz w:val="36"/>
          <w:szCs w:val="36"/>
        </w:rPr>
        <w:t>八、机关运行经费支出说明</w:t>
      </w:r>
    </w:p>
    <w:p>
      <w:pPr>
        <w:autoSpaceDN w:val="0"/>
        <w:spacing w:line="560" w:lineRule="exact"/>
        <w:ind w:firstLineChars="200" w:firstLine="720"/>
        <w:rPr>
          <w:rFonts w:eastAsia="方正仿宋_GBK"/>
          <w:sz w:val="36"/>
          <w:szCs w:val="36"/>
        </w:rPr>
      </w:pPr>
      <w:r>
        <w:rPr>
          <w:rFonts w:eastAsia="方正仿宋_GBK" w:hint="eastAsia"/>
          <w:sz w:val="36"/>
          <w:szCs w:val="36"/>
        </w:rPr>
        <w:t>九、政府采购支出说明</w:t>
      </w:r>
    </w:p>
    <w:p>
      <w:pPr>
        <w:autoSpaceDN w:val="0"/>
        <w:spacing w:line="560" w:lineRule="exact"/>
        <w:ind w:firstLineChars="200" w:firstLine="720"/>
        <w:rPr>
          <w:rFonts w:eastAsia="方正仿宋_GBK"/>
          <w:sz w:val="36"/>
          <w:szCs w:val="36"/>
        </w:rPr>
      </w:pPr>
      <w:r>
        <w:rPr>
          <w:rFonts w:eastAsia="方正仿宋_GBK" w:hint="eastAsia"/>
          <w:sz w:val="36"/>
          <w:szCs w:val="36"/>
        </w:rPr>
        <w:t>十、国有资产占用情况说明</w:t>
      </w:r>
    </w:p>
    <w:p>
      <w:pPr>
        <w:autoSpaceDN w:val="0"/>
        <w:spacing w:line="560" w:lineRule="exact"/>
        <w:ind w:firstLineChars="200" w:firstLine="720"/>
        <w:rPr>
          <w:rFonts w:eastAsia="方正仿宋_GBK"/>
          <w:sz w:val="36"/>
          <w:szCs w:val="36"/>
        </w:rPr>
      </w:pPr>
      <w:r>
        <w:rPr>
          <w:rFonts w:eastAsia="方正仿宋_GBK" w:hint="eastAsia"/>
          <w:sz w:val="36"/>
          <w:szCs w:val="36"/>
        </w:rPr>
        <w:t>十一、预算绩效情况说明</w:t>
      </w:r>
    </w:p>
    <w:p>
      <w:pPr>
        <w:autoSpaceDN w:val="0"/>
        <w:spacing w:line="560" w:lineRule="exact"/>
        <w:rPr>
          <w:rFonts w:eastAsia="方正仿宋_GBK"/>
          <w:b/>
          <w:sz w:val="44"/>
          <w:szCs w:val="44"/>
        </w:rPr>
      </w:pPr>
      <w:r>
        <w:rPr>
          <w:rFonts w:eastAsia="方正仿宋_GBK" w:hint="eastAsia"/>
          <w:b/>
          <w:sz w:val="44"/>
          <w:szCs w:val="44"/>
        </w:rPr>
        <w:t>第四部分</w:t>
      </w:r>
      <w:r>
        <w:rPr>
          <w:rFonts w:eastAsia="方正仿宋_GBK"/>
          <w:b/>
          <w:sz w:val="44"/>
          <w:szCs w:val="44"/>
        </w:rPr>
        <w:t xml:space="preserve"> </w:t>
      </w:r>
      <w:r>
        <w:rPr>
          <w:rFonts w:eastAsia="方正仿宋_GBK" w:hint="eastAsia"/>
          <w:b/>
          <w:sz w:val="44"/>
          <w:szCs w:val="44"/>
        </w:rPr>
        <w:t>名词解释</w:t>
      </w:r>
    </w:p>
    <w:p>
      <w:pPr>
        <w:autoSpaceDN w:val="0"/>
        <w:spacing w:line="560" w:lineRule="exact"/>
        <w:rPr>
          <w:rFonts w:eastAsia="方正仿宋_GBK"/>
          <w:b/>
          <w:sz w:val="44"/>
          <w:szCs w:val="44"/>
        </w:rPr>
      </w:pPr>
      <w:r>
        <w:rPr>
          <w:rFonts w:eastAsia="方正仿宋_GBK" w:hint="eastAsia"/>
          <w:b/>
          <w:sz w:val="44"/>
          <w:szCs w:val="44"/>
        </w:rPr>
        <w:t>第五部分</w:t>
      </w:r>
      <w:r>
        <w:rPr>
          <w:rFonts w:eastAsia="方正仿宋_GBK"/>
          <w:b/>
          <w:sz w:val="44"/>
          <w:szCs w:val="44"/>
        </w:rPr>
        <w:t xml:space="preserve"> </w:t>
      </w:r>
      <w:r>
        <w:rPr>
          <w:rFonts w:eastAsia="方正仿宋_GBK" w:hint="eastAsia"/>
          <w:b/>
          <w:sz w:val="44"/>
          <w:szCs w:val="44"/>
        </w:rPr>
        <w:t>附表</w:t>
      </w:r>
    </w:p>
    <w:p>
      <w:pPr>
        <w:autoSpaceDN w:val="0"/>
        <w:spacing w:line="560" w:lineRule="exact"/>
        <w:ind w:firstLineChars="350" w:firstLine="735"/>
      </w:pPr>
      <w:r>
        <w:br w:type="page"/>
      </w: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1100" w:lineRule="exact"/>
        <w:ind w:firstLineChars="350" w:firstLine="2940"/>
        <w:rPr>
          <w:rFonts w:ascii="方正黑体_GBK" w:eastAsia="方正黑体_GBK"/>
          <w:sz w:val="84"/>
          <w:szCs w:val="84"/>
        </w:rPr>
      </w:pPr>
    </w:p>
    <w:p>
      <w:pPr>
        <w:autoSpaceDN w:val="0"/>
        <w:spacing w:line="1100" w:lineRule="exact"/>
        <w:ind w:firstLineChars="300" w:firstLine="2520"/>
        <w:rPr>
          <w:rFonts w:ascii="方正黑体_GBK" w:eastAsia="方正黑体_GBK"/>
          <w:sz w:val="84"/>
          <w:szCs w:val="84"/>
        </w:rPr>
      </w:pPr>
      <w:r>
        <w:rPr>
          <w:rFonts w:ascii="方正黑体_GBK" w:eastAsia="方正黑体_GBK" w:hint="eastAsia"/>
          <w:sz w:val="84"/>
          <w:szCs w:val="84"/>
        </w:rPr>
        <w:t>第一部分</w:t>
      </w:r>
    </w:p>
    <w:p>
      <w:pPr>
        <w:autoSpaceDN w:val="0"/>
        <w:spacing w:line="1100" w:lineRule="exact"/>
        <w:jc w:val="center"/>
        <w:rPr>
          <w:rFonts w:ascii="方正黑体_GBK" w:eastAsia="方正黑体_GBK"/>
          <w:sz w:val="84"/>
          <w:szCs w:val="84"/>
        </w:rPr>
      </w:pPr>
      <w:r>
        <w:rPr>
          <w:rFonts w:ascii="方正黑体_GBK" w:eastAsia="方正黑体_GBK" w:hint="eastAsia"/>
          <w:sz w:val="84"/>
          <w:szCs w:val="84"/>
        </w:rPr>
        <w:t>济南机场海关概况</w:t>
      </w: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350" w:firstLine="735"/>
      </w:pPr>
    </w:p>
    <w:p>
      <w:pPr>
        <w:autoSpaceDN w:val="0"/>
        <w:spacing w:line="560" w:lineRule="exact"/>
        <w:ind w:firstLineChars="200" w:firstLine="640"/>
        <w:rPr>
          <w:rFonts w:ascii="方正楷体_GBK" w:eastAsia="方正楷体_GBK"/>
          <w:b/>
          <w:bCs/>
          <w:sz w:val="32"/>
          <w:szCs w:val="32"/>
        </w:rPr>
      </w:pPr>
      <w:r>
        <w:rPr>
          <w:rFonts w:ascii="方正黑体_GBK" w:eastAsia="方正黑体_GBK" w:hint="eastAsia"/>
          <w:sz w:val="32"/>
          <w:szCs w:val="32"/>
        </w:rPr>
        <w:t>一、本关概况</w:t>
      </w:r>
    </w:p>
    <w:p>
      <w:pPr>
        <w:spacing w:line="560" w:lineRule="exact"/>
        <w:ind w:firstLineChars="200" w:firstLine="640"/>
        <w:rPr>
          <w:rFonts w:eastAsia="方正仿宋_GBK"/>
          <w:kern w:val="0"/>
          <w:sz w:val="32"/>
          <w:szCs w:val="32"/>
        </w:rPr>
      </w:pPr>
      <w:r>
        <w:rPr>
          <w:rFonts w:eastAsia="方正仿宋_GBK" w:hint="eastAsia"/>
          <w:kern w:val="0"/>
          <w:sz w:val="32"/>
          <w:szCs w:val="32"/>
        </w:rPr>
        <w:t>济南机场海关是济南关区唯一的空港口岸型海关。</w:t>
      </w:r>
      <w:r>
        <w:rPr>
          <w:rFonts w:eastAsia="方正仿宋_GBK"/>
          <w:kern w:val="0"/>
          <w:sz w:val="32"/>
          <w:szCs w:val="32"/>
        </w:rPr>
        <w:t>1991</w:t>
      </w:r>
      <w:r>
        <w:rPr>
          <w:rFonts w:eastAsia="方正仿宋_GBK" w:hint="eastAsia"/>
          <w:kern w:val="0"/>
          <w:sz w:val="32"/>
          <w:szCs w:val="32"/>
        </w:rPr>
        <w:t>年</w:t>
      </w:r>
      <w:r>
        <w:rPr>
          <w:rFonts w:eastAsia="方正仿宋_GBK"/>
          <w:kern w:val="0"/>
          <w:sz w:val="32"/>
          <w:szCs w:val="32"/>
        </w:rPr>
        <w:t>3</w:t>
      </w:r>
      <w:r>
        <w:rPr>
          <w:rFonts w:eastAsia="方正仿宋_GBK" w:hint="eastAsia"/>
          <w:kern w:val="0"/>
          <w:sz w:val="32"/>
          <w:szCs w:val="32"/>
        </w:rPr>
        <w:t>月</w:t>
      </w:r>
      <w:r>
        <w:rPr>
          <w:rFonts w:eastAsia="方正仿宋_GBK"/>
          <w:kern w:val="0"/>
          <w:sz w:val="32"/>
          <w:szCs w:val="32"/>
        </w:rPr>
        <w:t>8</w:t>
      </w:r>
      <w:r>
        <w:rPr>
          <w:rFonts w:eastAsia="方正仿宋_GBK" w:hint="eastAsia"/>
          <w:kern w:val="0"/>
          <w:sz w:val="32"/>
          <w:szCs w:val="32"/>
        </w:rPr>
        <w:t>日成立旅检科，首先开办旅检监管业务，</w:t>
      </w:r>
      <w:r>
        <w:rPr>
          <w:rFonts w:eastAsia="方正仿宋_GBK"/>
          <w:kern w:val="0"/>
          <w:sz w:val="32"/>
          <w:szCs w:val="32"/>
        </w:rPr>
        <w:t>1994</w:t>
      </w:r>
      <w:r>
        <w:rPr>
          <w:rFonts w:eastAsia="方正仿宋_GBK" w:hint="eastAsia"/>
          <w:kern w:val="0"/>
          <w:sz w:val="32"/>
          <w:szCs w:val="32"/>
        </w:rPr>
        <w:t>年</w:t>
      </w:r>
      <w:r>
        <w:rPr>
          <w:rFonts w:eastAsia="方正仿宋_GBK"/>
          <w:kern w:val="0"/>
          <w:sz w:val="32"/>
          <w:szCs w:val="32"/>
        </w:rPr>
        <w:t>4</w:t>
      </w:r>
      <w:r>
        <w:rPr>
          <w:rFonts w:eastAsia="方正仿宋_GBK" w:hint="eastAsia"/>
          <w:kern w:val="0"/>
          <w:sz w:val="32"/>
          <w:szCs w:val="32"/>
        </w:rPr>
        <w:t>月</w:t>
      </w:r>
      <w:r>
        <w:rPr>
          <w:rFonts w:eastAsia="方正仿宋_GBK"/>
          <w:kern w:val="0"/>
          <w:sz w:val="32"/>
          <w:szCs w:val="32"/>
        </w:rPr>
        <w:t>11</w:t>
      </w:r>
      <w:r>
        <w:rPr>
          <w:rFonts w:eastAsia="方正仿宋_GBK" w:hint="eastAsia"/>
          <w:kern w:val="0"/>
          <w:sz w:val="32"/>
          <w:szCs w:val="32"/>
        </w:rPr>
        <w:t>日总署批准设立济南海关驻机场办事处（副处级机构），</w:t>
      </w:r>
      <w:r>
        <w:rPr>
          <w:rFonts w:eastAsia="方正仿宋_GBK"/>
          <w:kern w:val="0"/>
          <w:sz w:val="32"/>
          <w:szCs w:val="32"/>
        </w:rPr>
        <w:t>2012</w:t>
      </w:r>
      <w:r>
        <w:rPr>
          <w:rFonts w:eastAsia="方正仿宋_GBK" w:hint="eastAsia"/>
          <w:kern w:val="0"/>
          <w:sz w:val="32"/>
          <w:szCs w:val="32"/>
        </w:rPr>
        <w:t>年</w:t>
      </w:r>
      <w:r>
        <w:rPr>
          <w:rFonts w:eastAsia="方正仿宋_GBK"/>
          <w:kern w:val="0"/>
          <w:sz w:val="32"/>
          <w:szCs w:val="32"/>
        </w:rPr>
        <w:t>12</w:t>
      </w:r>
      <w:r>
        <w:rPr>
          <w:rFonts w:eastAsia="方正仿宋_GBK" w:hint="eastAsia"/>
          <w:kern w:val="0"/>
          <w:sz w:val="32"/>
          <w:szCs w:val="32"/>
        </w:rPr>
        <w:t>月</w:t>
      </w:r>
      <w:r>
        <w:rPr>
          <w:rFonts w:eastAsia="方正仿宋_GBK"/>
          <w:kern w:val="0"/>
          <w:sz w:val="32"/>
          <w:szCs w:val="32"/>
        </w:rPr>
        <w:t>13</w:t>
      </w:r>
      <w:r>
        <w:rPr>
          <w:rFonts w:eastAsia="方正仿宋_GBK" w:hint="eastAsia"/>
          <w:kern w:val="0"/>
          <w:sz w:val="32"/>
          <w:szCs w:val="32"/>
        </w:rPr>
        <w:t>日济南海关直属后调整为正处级机构，</w:t>
      </w:r>
      <w:r>
        <w:rPr>
          <w:rFonts w:eastAsia="方正仿宋_GBK"/>
          <w:kern w:val="0"/>
          <w:sz w:val="32"/>
          <w:szCs w:val="32"/>
        </w:rPr>
        <w:t>2018</w:t>
      </w:r>
      <w:r>
        <w:rPr>
          <w:rFonts w:eastAsia="方正仿宋_GBK" w:hint="eastAsia"/>
          <w:kern w:val="0"/>
          <w:sz w:val="32"/>
          <w:szCs w:val="32"/>
        </w:rPr>
        <w:t>年</w:t>
      </w:r>
      <w:r>
        <w:rPr>
          <w:rFonts w:eastAsia="方正仿宋_GBK"/>
          <w:kern w:val="0"/>
          <w:sz w:val="32"/>
          <w:szCs w:val="32"/>
        </w:rPr>
        <w:t>12</w:t>
      </w:r>
      <w:r>
        <w:rPr>
          <w:rFonts w:eastAsia="方正仿宋_GBK" w:hint="eastAsia"/>
          <w:kern w:val="0"/>
          <w:sz w:val="32"/>
          <w:szCs w:val="32"/>
        </w:rPr>
        <w:t>月</w:t>
      </w:r>
      <w:r>
        <w:rPr>
          <w:rFonts w:eastAsia="方正仿宋_GBK"/>
          <w:kern w:val="0"/>
          <w:sz w:val="32"/>
          <w:szCs w:val="32"/>
        </w:rPr>
        <w:t>24</w:t>
      </w:r>
      <w:r>
        <w:rPr>
          <w:rFonts w:eastAsia="方正仿宋_GBK" w:hint="eastAsia"/>
          <w:kern w:val="0"/>
          <w:sz w:val="32"/>
          <w:szCs w:val="32"/>
        </w:rPr>
        <w:t>日更名为济南机场海关。作为口岸型海关，我关业务门类较为齐全，已形成涵盖旅检、普货、商业快件、跨境电商、口岸检验检疫等业务功能较为全面、集聚发展的海关业务体系。截至目前累计开通</w:t>
      </w:r>
      <w:r>
        <w:rPr>
          <w:rFonts w:eastAsia="方正仿宋_GBK"/>
          <w:kern w:val="0"/>
          <w:sz w:val="32"/>
          <w:szCs w:val="32"/>
        </w:rPr>
        <w:t>24</w:t>
      </w:r>
      <w:r>
        <w:rPr>
          <w:rFonts w:eastAsia="方正仿宋_GBK" w:hint="eastAsia"/>
          <w:kern w:val="0"/>
          <w:sz w:val="32"/>
          <w:szCs w:val="32"/>
        </w:rPr>
        <w:t>个国家和地区的国际航线</w:t>
      </w:r>
      <w:r>
        <w:rPr>
          <w:rFonts w:eastAsia="方正仿宋_GBK"/>
          <w:kern w:val="0"/>
          <w:sz w:val="32"/>
          <w:szCs w:val="32"/>
        </w:rPr>
        <w:t>38</w:t>
      </w:r>
      <w:r>
        <w:rPr>
          <w:rFonts w:eastAsia="方正仿宋_GBK" w:hint="eastAsia"/>
          <w:kern w:val="0"/>
          <w:sz w:val="32"/>
          <w:szCs w:val="32"/>
        </w:rPr>
        <w:t>条（客运</w:t>
      </w:r>
      <w:r>
        <w:rPr>
          <w:rFonts w:eastAsia="方正仿宋_GBK"/>
          <w:kern w:val="0"/>
          <w:sz w:val="32"/>
          <w:szCs w:val="32"/>
        </w:rPr>
        <w:t>25</w:t>
      </w:r>
      <w:r>
        <w:rPr>
          <w:rFonts w:eastAsia="方正仿宋_GBK" w:hint="eastAsia"/>
          <w:kern w:val="0"/>
          <w:sz w:val="32"/>
          <w:szCs w:val="32"/>
        </w:rPr>
        <w:t>条、货运</w:t>
      </w:r>
      <w:r>
        <w:rPr>
          <w:rFonts w:eastAsia="方正仿宋_GBK"/>
          <w:kern w:val="0"/>
          <w:sz w:val="32"/>
          <w:szCs w:val="32"/>
        </w:rPr>
        <w:t>17</w:t>
      </w:r>
      <w:r>
        <w:rPr>
          <w:rFonts w:eastAsia="方正仿宋_GBK" w:hint="eastAsia"/>
          <w:kern w:val="0"/>
          <w:sz w:val="32"/>
          <w:szCs w:val="32"/>
        </w:rPr>
        <w:t>条），目前执飞的客运航线</w:t>
      </w:r>
      <w:r>
        <w:rPr>
          <w:rFonts w:eastAsia="方正仿宋_GBK"/>
          <w:kern w:val="0"/>
          <w:sz w:val="32"/>
          <w:szCs w:val="32"/>
        </w:rPr>
        <w:t>9</w:t>
      </w:r>
      <w:r>
        <w:rPr>
          <w:rFonts w:eastAsia="方正仿宋_GBK" w:hint="eastAsia"/>
          <w:kern w:val="0"/>
          <w:sz w:val="32"/>
          <w:szCs w:val="32"/>
        </w:rPr>
        <w:t>条、货运航线</w:t>
      </w:r>
      <w:r>
        <w:rPr>
          <w:rFonts w:eastAsia="方正仿宋_GBK"/>
          <w:kern w:val="0"/>
          <w:sz w:val="32"/>
          <w:szCs w:val="32"/>
        </w:rPr>
        <w:t>2</w:t>
      </w:r>
      <w:r>
        <w:rPr>
          <w:rFonts w:eastAsia="方正仿宋_GBK" w:hint="eastAsia"/>
          <w:kern w:val="0"/>
          <w:sz w:val="32"/>
          <w:szCs w:val="32"/>
        </w:rPr>
        <w:t>条。</w:t>
      </w:r>
    </w:p>
    <w:p>
      <w:pPr>
        <w:spacing w:line="560" w:lineRule="exact"/>
        <w:ind w:firstLineChars="200" w:firstLine="640"/>
        <w:rPr>
          <w:rFonts w:eastAsia="方正仿宋_GBK"/>
          <w:kern w:val="0"/>
          <w:sz w:val="32"/>
          <w:szCs w:val="32"/>
        </w:rPr>
      </w:pPr>
      <w:r>
        <w:rPr>
          <w:rFonts w:eastAsia="方正仿宋_GBK" w:hint="eastAsia"/>
          <w:kern w:val="0"/>
          <w:sz w:val="32"/>
          <w:szCs w:val="32"/>
        </w:rPr>
        <w:t>作为口岸型海关，济南机场海关业务门类较为齐全，已形成涵盖旅检、普货、商业快件、跨境电商、口岸检验检疫等业务功能较为全面、集聚发展的海关业务体系。截至目前累计开通</w:t>
      </w:r>
      <w:r>
        <w:rPr>
          <w:rFonts w:eastAsia="方正仿宋_GBK"/>
          <w:kern w:val="0"/>
          <w:sz w:val="32"/>
          <w:szCs w:val="32"/>
        </w:rPr>
        <w:t>24</w:t>
      </w:r>
      <w:r>
        <w:rPr>
          <w:rFonts w:eastAsia="方正仿宋_GBK" w:hint="eastAsia"/>
          <w:kern w:val="0"/>
          <w:sz w:val="32"/>
          <w:szCs w:val="32"/>
        </w:rPr>
        <w:t>个国家和地区的国际航线</w:t>
      </w:r>
      <w:r>
        <w:rPr>
          <w:rFonts w:eastAsia="方正仿宋_GBK"/>
          <w:kern w:val="0"/>
          <w:sz w:val="32"/>
          <w:szCs w:val="32"/>
        </w:rPr>
        <w:t>38</w:t>
      </w:r>
      <w:r>
        <w:rPr>
          <w:rFonts w:eastAsia="方正仿宋_GBK" w:hint="eastAsia"/>
          <w:kern w:val="0"/>
          <w:sz w:val="32"/>
          <w:szCs w:val="32"/>
        </w:rPr>
        <w:t>条（客运</w:t>
      </w:r>
      <w:r>
        <w:rPr>
          <w:rFonts w:eastAsia="方正仿宋_GBK"/>
          <w:kern w:val="0"/>
          <w:sz w:val="32"/>
          <w:szCs w:val="32"/>
        </w:rPr>
        <w:t>25</w:t>
      </w:r>
      <w:r>
        <w:rPr>
          <w:rFonts w:eastAsia="方正仿宋_GBK" w:hint="eastAsia"/>
          <w:kern w:val="0"/>
          <w:sz w:val="32"/>
          <w:szCs w:val="32"/>
        </w:rPr>
        <w:t>条、货运</w:t>
      </w:r>
      <w:r>
        <w:rPr>
          <w:rFonts w:eastAsia="方正仿宋_GBK"/>
          <w:kern w:val="0"/>
          <w:sz w:val="32"/>
          <w:szCs w:val="32"/>
        </w:rPr>
        <w:t>17</w:t>
      </w:r>
      <w:r>
        <w:rPr>
          <w:rFonts w:eastAsia="方正仿宋_GBK" w:hint="eastAsia"/>
          <w:kern w:val="0"/>
          <w:sz w:val="32"/>
          <w:szCs w:val="32"/>
        </w:rPr>
        <w:t>条），目前执飞的客运航线</w:t>
      </w:r>
      <w:r>
        <w:rPr>
          <w:rFonts w:eastAsia="方正仿宋_GBK"/>
          <w:kern w:val="0"/>
          <w:sz w:val="32"/>
          <w:szCs w:val="32"/>
        </w:rPr>
        <w:t>9</w:t>
      </w:r>
      <w:r>
        <w:rPr>
          <w:rFonts w:eastAsia="方正仿宋_GBK" w:hint="eastAsia"/>
          <w:kern w:val="0"/>
          <w:sz w:val="32"/>
          <w:szCs w:val="32"/>
        </w:rPr>
        <w:t>条、货运航线</w:t>
      </w:r>
      <w:r>
        <w:rPr>
          <w:rFonts w:eastAsia="方正仿宋_GBK"/>
          <w:kern w:val="0"/>
          <w:sz w:val="32"/>
          <w:szCs w:val="32"/>
        </w:rPr>
        <w:t>2</w:t>
      </w:r>
      <w:r>
        <w:rPr>
          <w:rFonts w:eastAsia="方正仿宋_GBK" w:hint="eastAsia"/>
          <w:kern w:val="0"/>
          <w:sz w:val="32"/>
          <w:szCs w:val="32"/>
        </w:rPr>
        <w:t>条。</w:t>
      </w:r>
    </w:p>
    <w:p>
      <w:pPr>
        <w:autoSpaceDN w:val="0"/>
        <w:spacing w:line="560" w:lineRule="exact"/>
        <w:ind w:firstLineChars="200" w:firstLine="640"/>
        <w:rPr>
          <w:rFonts w:ascii="方正黑体_GBK" w:eastAsia="方正黑体_GBK"/>
          <w:sz w:val="32"/>
          <w:szCs w:val="32"/>
        </w:rPr>
      </w:pPr>
      <w:r>
        <w:rPr>
          <w:rFonts w:ascii="方正黑体_GBK" w:eastAsia="方正黑体_GBK" w:hint="eastAsia"/>
          <w:sz w:val="32"/>
          <w:szCs w:val="32"/>
        </w:rPr>
        <w:t>二、机构设置</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济南机场海关下辖负责济南机场口岸海关业务，设有办公室、人事政工监察科、综合业务科、旅检一科、旅检二科、旅检三科、口岸监管一科、口岸监管二科、查验科和缉私科（与缉私局双重管理）。</w:t>
      </w:r>
    </w:p>
    <w:p>
      <w:pPr>
        <w:widowControl/>
        <w:autoSpaceDN w:val="0"/>
        <w:jc w:val="left"/>
        <w:sectPr>
          <w:pgSz w:w="11907" w:h="16840"/>
          <w:pgMar w:top="1440" w:right="1797" w:bottom="1440" w:left="1797" w:header="851" w:footer="992" w:gutter="0"/>
          <w:docGrid w:type="lines" w:linePitch="312" w:charSpace="0"/>
        </w:sectPr>
      </w:pPr>
    </w:p>
    <w:p>
      <w:pPr>
        <w:widowControl/>
        <w:autoSpaceDN w:val="0"/>
        <w:jc w:val="left"/>
        <w:rPr>
          <w:rFonts w:ascii="方正黑体_GBK" w:eastAsia="方正黑体_GBK" w:cs="Arial"/>
          <w:color w:val="000000"/>
          <w:kern w:val="0"/>
          <w:sz w:val="32"/>
          <w:szCs w:val="32"/>
        </w:rPr>
      </w:pPr>
    </w:p>
    <w:p>
      <w:pPr>
        <w:widowControl/>
        <w:autoSpaceDN w:val="0"/>
        <w:jc w:val="left"/>
        <w:rPr>
          <w:rFonts w:ascii="方正黑体_GBK" w:eastAsia="方正黑体_GBK" w:cs="Arial"/>
          <w:color w:val="000000"/>
          <w:kern w:val="0"/>
          <w:sz w:val="32"/>
          <w:szCs w:val="32"/>
        </w:rPr>
      </w:pPr>
    </w:p>
    <w:p>
      <w:pPr>
        <w:widowControl/>
        <w:autoSpaceDN w:val="0"/>
        <w:jc w:val="left"/>
        <w:rPr>
          <w:rFonts w:ascii="方正黑体_GBK" w:eastAsia="方正黑体_GBK" w:cs="Arial"/>
          <w:color w:val="000000"/>
          <w:kern w:val="0"/>
          <w:sz w:val="32"/>
          <w:szCs w:val="32"/>
        </w:rPr>
      </w:pPr>
    </w:p>
    <w:p>
      <w:pPr>
        <w:widowControl/>
        <w:autoSpaceDN w:val="0"/>
        <w:jc w:val="center"/>
        <w:rPr>
          <w:rFonts w:ascii="方正黑体_GBK" w:eastAsia="方正黑体_GBK" w:cs="Arial"/>
          <w:color w:val="000000"/>
          <w:kern w:val="0"/>
          <w:sz w:val="84"/>
          <w:szCs w:val="84"/>
        </w:rPr>
      </w:pPr>
    </w:p>
    <w:p>
      <w:pPr>
        <w:widowControl/>
        <w:autoSpaceDN w:val="0"/>
        <w:jc w:val="center"/>
        <w:rPr>
          <w:rFonts w:ascii="方正黑体_GBK" w:eastAsia="方正黑体_GBK" w:cs="Arial"/>
          <w:color w:val="000000"/>
          <w:kern w:val="0"/>
          <w:sz w:val="84"/>
          <w:szCs w:val="84"/>
        </w:rPr>
      </w:pPr>
      <w:r>
        <w:rPr>
          <w:rFonts w:ascii="方正黑体_GBK" w:eastAsia="方正黑体_GBK" w:cs="Arial" w:hint="eastAsia"/>
          <w:color w:val="000000"/>
          <w:kern w:val="0"/>
          <w:sz w:val="84"/>
          <w:szCs w:val="84"/>
        </w:rPr>
        <w:t>第二部分</w:t>
      </w:r>
    </w:p>
    <w:p>
      <w:pPr>
        <w:widowControl/>
        <w:autoSpaceDN w:val="0"/>
        <w:jc w:val="center"/>
        <w:rPr>
          <w:rFonts w:ascii="方正黑体_GBK" w:eastAsia="方正黑体_GBK" w:cs="Arial"/>
          <w:color w:val="000000"/>
          <w:kern w:val="0"/>
          <w:sz w:val="84"/>
          <w:szCs w:val="84"/>
        </w:rPr>
      </w:pPr>
      <w:r>
        <w:rPr>
          <w:rFonts w:ascii="方正黑体_GBK" w:eastAsia="方正黑体_GBK" w:cs="Arial"/>
          <w:color w:val="000000"/>
          <w:kern w:val="0"/>
          <w:sz w:val="84"/>
          <w:szCs w:val="84"/>
        </w:rPr>
        <w:t>202</w:t>
      </w:r>
      <w:r>
        <w:rPr>
          <w:rFonts w:ascii="方正黑体_GBK" w:eastAsia="方正黑体_GBK" w:cs="Arial" w:hint="eastAsia"/>
          <w:color w:val="000000"/>
          <w:kern w:val="0"/>
          <w:sz w:val="84"/>
          <w:szCs w:val="84"/>
        </w:rPr>
        <w:t>3年度部门决算表</w:t>
      </w:r>
    </w:p>
    <w:p>
      <w:pPr>
        <w:widowControl/>
        <w:autoSpaceDN w:val="0"/>
        <w:jc w:val="left"/>
        <w:rPr>
          <w:rFonts w:ascii="方正黑体_GBK" w:eastAsia="方正黑体_GBK" w:cs="Arial"/>
          <w:color w:val="000000"/>
          <w:kern w:val="0"/>
          <w:sz w:val="32"/>
          <w:szCs w:val="32"/>
        </w:rPr>
      </w:pPr>
    </w:p>
    <w:p>
      <w:pPr>
        <w:widowControl/>
        <w:autoSpaceDN w:val="0"/>
        <w:jc w:val="left"/>
        <w:rPr>
          <w:rFonts w:ascii="方正黑体_GBK" w:eastAsia="方正黑体_GBK" w:cs="Arial"/>
          <w:color w:val="000000"/>
          <w:kern w:val="0"/>
          <w:sz w:val="32"/>
          <w:szCs w:val="32"/>
        </w:rPr>
      </w:pPr>
    </w:p>
    <w:p>
      <w:pPr>
        <w:widowControl/>
        <w:autoSpaceDN w:val="0"/>
        <w:jc w:val="left"/>
        <w:rPr>
          <w:rFonts w:ascii="方正黑体_GBK" w:eastAsia="方正黑体_GBK" w:cs="Arial"/>
          <w:color w:val="000000"/>
          <w:kern w:val="0"/>
          <w:sz w:val="32"/>
          <w:szCs w:val="32"/>
        </w:rPr>
      </w:pPr>
    </w:p>
    <w:p>
      <w:pPr>
        <w:widowControl/>
        <w:autoSpaceDN w:val="0"/>
        <w:jc w:val="left"/>
        <w:rPr>
          <w:rFonts w:ascii="方正黑体_GBK" w:eastAsia="方正黑体_GBK" w:cs="Arial"/>
          <w:color w:val="000000"/>
          <w:kern w:val="0"/>
          <w:sz w:val="32"/>
          <w:szCs w:val="32"/>
        </w:rPr>
      </w:pPr>
    </w:p>
    <w:p>
      <w:pPr>
        <w:widowControl/>
        <w:autoSpaceDN w:val="0"/>
        <w:jc w:val="left"/>
        <w:rPr>
          <w:rFonts w:ascii="方正黑体_GBK" w:eastAsia="方正黑体_GBK" w:cs="Arial"/>
          <w:color w:val="000000"/>
          <w:kern w:val="0"/>
          <w:sz w:val="32"/>
          <w:szCs w:val="32"/>
        </w:rPr>
      </w:pPr>
    </w:p>
    <w:p>
      <w:pPr>
        <w:widowControl/>
        <w:autoSpaceDN w:val="0"/>
        <w:jc w:val="left"/>
        <w:rPr>
          <w:rFonts w:ascii="方正黑体_GBK" w:eastAsia="方正黑体_GBK" w:cs="Arial"/>
          <w:color w:val="000000"/>
          <w:kern w:val="0"/>
          <w:sz w:val="32"/>
          <w:szCs w:val="32"/>
        </w:rPr>
      </w:pPr>
    </w:p>
    <w:tbl>
      <w:tblPr>
        <w:jc w:val="left"/>
        <w:tblInd w:w="93" w:type="dxa"/>
        <w:tblW w:w="2358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402"/>
        <w:gridCol w:w="4578"/>
        <w:gridCol w:w="646"/>
        <w:gridCol w:w="1966"/>
        <w:gridCol w:w="1966"/>
        <w:gridCol w:w="3418"/>
        <w:gridCol w:w="370"/>
        <w:gridCol w:w="646"/>
        <w:gridCol w:w="1402"/>
        <w:gridCol w:w="4578"/>
        <w:gridCol w:w="646"/>
        <w:gridCol w:w="1966"/>
      </w:tblGrid>
      <w:tr>
        <w:trPr>
          <w:trHeight w:val="390"/>
        </w:trPr>
        <w:tc>
          <w:tcPr>
            <w:tcW w:w="23584" w:type="dxa"/>
            <w:gridSpan w:val="12"/>
            <w:tcBorders>
              <w:top w:val="nil"/>
              <w:left w:val="nil"/>
              <w:bottom w:val="nil"/>
              <w:right w:val="nil"/>
            </w:tcBorders>
            <w:noWrap/>
            <w:vAlign w:val="bottom"/>
          </w:tcPr>
          <w:p>
            <w:pPr>
              <w:widowControl/>
              <w:ind w:firstLineChars="1700" w:firstLine="5440"/>
              <w:rPr>
                <w:rFonts w:ascii="方正黑体_GBK" w:eastAsia="方正黑体_GBK" w:cs="Arial"/>
                <w:color w:val="000000"/>
                <w:kern w:val="0"/>
                <w:sz w:val="32"/>
                <w:szCs w:val="32"/>
              </w:rPr>
            </w:pPr>
            <w:r>
              <w:rPr>
                <w:rFonts w:ascii="方正黑体_GBK" w:eastAsia="方正黑体_GBK" w:cs="Arial" w:hint="eastAsia"/>
                <w:color w:val="000000"/>
                <w:kern w:val="0"/>
                <w:sz w:val="32"/>
                <w:szCs w:val="32"/>
              </w:rPr>
              <w:t>收入支出决算总表</w:t>
            </w:r>
          </w:p>
        </w:tc>
      </w:tr>
      <w:tr>
        <w:trPr>
          <w:trHeight w:val="255"/>
          <w:gridAfter w:val="6"/>
          <w:wAfter w:w="9608" w:type="dxa"/>
        </w:trPr>
        <w:tc>
          <w:tcPr>
            <w:tcW w:w="1402"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578" w:type="dxa"/>
            <w:tcBorders>
              <w:top w:val="nil"/>
              <w:left w:val="nil"/>
              <w:bottom w:val="nil"/>
              <w:right w:val="nil"/>
            </w:tcBorders>
            <w:noWrap/>
            <w:vAlign w:val="bottom"/>
          </w:tcPr>
          <w:p>
            <w:pPr>
              <w:widowControl/>
              <w:jc w:val="left"/>
              <w:rPr>
                <w:rFonts w:ascii="Arial" w:cs="Arial" w:hAnsi="Arial"/>
                <w:color w:val="000000"/>
                <w:kern w:val="0"/>
                <w:sz w:val="20"/>
                <w:szCs w:val="20"/>
              </w:rPr>
            </w:pPr>
            <w:r>
              <w:rPr>
                <w:rFonts w:ascii="Arial" w:cs="Arial" w:hAnsi="Arial" w:hint="eastAsia"/>
                <w:color w:val="000000"/>
                <w:kern w:val="0"/>
                <w:sz w:val="20"/>
                <w:szCs w:val="20"/>
              </w:rPr>
              <w:t xml:space="preserve">                                                        </w:t>
            </w:r>
          </w:p>
        </w:tc>
        <w:tc>
          <w:tcPr>
            <w:tcW w:w="646" w:type="dxa"/>
            <w:tcBorders>
              <w:top w:val="nil"/>
              <w:left w:val="nil"/>
              <w:bottom w:val="nil"/>
              <w:right w:val="nil"/>
            </w:tcBorders>
            <w:noWrap/>
            <w:vAlign w:val="bottom"/>
          </w:tcPr>
          <w:p>
            <w:pPr>
              <w:widowControl/>
              <w:jc w:val="left"/>
              <w:rPr>
                <w:rFonts w:ascii="Arial" w:cs="Arial" w:hAnsi="Arial"/>
                <w:color w:val="000000"/>
                <w:kern w:val="0"/>
                <w:sz w:val="20"/>
                <w:szCs w:val="20"/>
              </w:rPr>
            </w:pPr>
            <w:r>
              <w:rPr>
                <w:rFonts w:ascii="Arial" w:cs="Arial" w:hAnsi="Arial" w:hint="eastAsia"/>
                <w:color w:val="000000"/>
                <w:kern w:val="0"/>
                <w:sz w:val="20"/>
                <w:szCs w:val="20"/>
              </w:rPr>
              <w:t xml:space="preserve">                             </w:t>
            </w:r>
          </w:p>
        </w:tc>
        <w:tc>
          <w:tcPr>
            <w:tcW w:w="1966" w:type="dxa"/>
            <w:tcBorders>
              <w:top w:val="nil"/>
              <w:left w:val="nil"/>
              <w:bottom w:val="nil"/>
              <w:right w:val="nil"/>
            </w:tcBorders>
            <w:noWrap/>
            <w:vAlign w:val="bottom"/>
          </w:tcPr>
          <w:p>
            <w:pPr>
              <w:widowControl/>
              <w:wordWrap w:val="0"/>
              <w:jc w:val="right"/>
              <w:rPr>
                <w:rFonts w:ascii="宋体" w:cs="Arial"/>
                <w:color w:val="000000"/>
                <w:kern w:val="0"/>
                <w:sz w:val="20"/>
                <w:szCs w:val="20"/>
              </w:rPr>
            </w:pPr>
          </w:p>
        </w:tc>
        <w:tc>
          <w:tcPr>
            <w:tcW w:w="1966" w:type="dxa"/>
            <w:vAlign w:val="bottom"/>
          </w:tcPr>
          <w:p>
            <w:pPr>
              <w:widowControl/>
              <w:wordWrap w:val="0"/>
              <w:jc w:val="right"/>
              <w:rPr>
                <w:rFonts w:ascii="宋体" w:cs="Arial"/>
                <w:color w:val="000000"/>
                <w:kern w:val="0"/>
                <w:sz w:val="20"/>
                <w:szCs w:val="20"/>
              </w:rPr>
            </w:pPr>
            <w:r>
              <w:rPr>
                <w:rFonts w:ascii="宋体" w:cs="Arial" w:hint="eastAsia"/>
                <w:color w:val="000000"/>
                <w:kern w:val="0"/>
                <w:sz w:val="20"/>
                <w:szCs w:val="20"/>
              </w:rPr>
              <w:t xml:space="preserve"> </w:t>
            </w:r>
          </w:p>
        </w:tc>
        <w:tc>
          <w:tcPr>
            <w:tcW w:w="3418" w:type="dxa"/>
            <w:vAlign w:val="bottom"/>
          </w:tcPr>
          <w:p>
            <w:pPr>
              <w:widowControl/>
              <w:wordWrap w:val="0"/>
              <w:ind w:right="400" w:firstLineChars="850" w:firstLine="1700"/>
              <w:rPr>
                <w:rFonts w:ascii="宋体" w:cs="Arial"/>
                <w:color w:val="000000"/>
                <w:kern w:val="0"/>
                <w:sz w:val="20"/>
                <w:szCs w:val="20"/>
              </w:rPr>
            </w:pPr>
            <w:r>
              <w:rPr>
                <w:rFonts w:ascii="宋体" w:cs="Arial" w:hint="eastAsia"/>
                <w:vanish/>
                <w:color w:val="000000"/>
                <w:kern w:val="0"/>
                <w:sz w:val="20"/>
                <w:szCs w:val="20"/>
              </w:rPr>
              <w:t xml:space="preserve">  单位                                                                                                     </w:t>
            </w:r>
            <w:r>
              <w:rPr>
                <w:rFonts w:ascii="宋体" w:cs="Arial" w:hint="eastAsia"/>
                <w:color w:val="000000"/>
                <w:kern w:val="0"/>
                <w:sz w:val="20"/>
                <w:szCs w:val="20"/>
              </w:rPr>
              <w:t>公开</w:t>
            </w:r>
            <w:r>
              <w:rPr>
                <w:rFonts w:ascii="宋体" w:cs="Arial"/>
                <w:color w:val="000000"/>
                <w:kern w:val="0"/>
                <w:sz w:val="20"/>
                <w:szCs w:val="20"/>
              </w:rPr>
              <w:t>01</w:t>
            </w:r>
            <w:r>
              <w:rPr>
                <w:rFonts w:ascii="宋体" w:cs="Arial" w:hint="eastAsia"/>
                <w:color w:val="000000"/>
                <w:kern w:val="0"/>
                <w:sz w:val="20"/>
                <w:szCs w:val="20"/>
              </w:rPr>
              <w:t>表</w:t>
            </w:r>
          </w:p>
        </w:tc>
      </w:tr>
      <w:tr>
        <w:trPr>
          <w:trHeight w:val="255"/>
        </w:trPr>
        <w:tc>
          <w:tcPr>
            <w:tcW w:w="14346" w:type="dxa"/>
            <w:gridSpan w:val="7"/>
            <w:tcBorders>
              <w:top w:val="nil"/>
              <w:left w:val="nil"/>
              <w:bottom w:val="nil"/>
              <w:right w:val="nil"/>
            </w:tcBorders>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部门：济南机场海关                                                                                                     金额单位：万元</w:t>
            </w:r>
          </w:p>
          <w:tbl>
            <w:tblPr>
              <w:jc w:val="left"/>
              <w:tblW w:w="13365"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4719"/>
              <w:gridCol w:w="810"/>
              <w:gridCol w:w="1304"/>
              <w:gridCol w:w="4406"/>
              <w:gridCol w:w="822"/>
              <w:gridCol w:w="1304"/>
            </w:tblGrid>
            <w:tr>
              <w:trPr>
                <w:trHeight w:val="300"/>
              </w:trPr>
              <w:tc>
                <w:tcPr>
                  <w:tcW w:w="6833" w:type="dxa"/>
                  <w:gridSpan w:val="3"/>
                  <w:tcBorders>
                    <w:top w:val="single" w:sz="6" w:space="0" w:color="000000"/>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收入</w:t>
                  </w:r>
                </w:p>
              </w:tc>
              <w:tc>
                <w:tcPr>
                  <w:tcW w:w="6532" w:type="dxa"/>
                  <w:gridSpan w:val="3"/>
                  <w:tcBorders>
                    <w:top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支出</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项目</w:t>
                  </w:r>
                </w:p>
              </w:tc>
              <w:tc>
                <w:tcPr>
                  <w:tcW w:w="810" w:type="dxa"/>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行次</w:t>
                  </w:r>
                </w:p>
              </w:tc>
              <w:tc>
                <w:tcPr>
                  <w:tcW w:w="1304" w:type="dxa"/>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决算数</w:t>
                  </w:r>
                </w:p>
              </w:tc>
              <w:tc>
                <w:tcPr>
                  <w:tcW w:w="4406" w:type="dxa"/>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项目</w:t>
                  </w:r>
                </w:p>
              </w:tc>
              <w:tc>
                <w:tcPr>
                  <w:tcW w:w="822" w:type="dxa"/>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行次</w:t>
                  </w:r>
                </w:p>
              </w:tc>
              <w:tc>
                <w:tcPr>
                  <w:tcW w:w="1304" w:type="dxa"/>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决算数</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栏次</w:t>
                  </w:r>
                </w:p>
              </w:tc>
              <w:tc>
                <w:tcPr>
                  <w:tcW w:w="810"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1304"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1</w:t>
                  </w:r>
                </w:p>
              </w:tc>
              <w:tc>
                <w:tcPr>
                  <w:tcW w:w="4406" w:type="dxa"/>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栏次</w:t>
                  </w:r>
                </w:p>
              </w:tc>
              <w:tc>
                <w:tcPr>
                  <w:tcW w:w="822"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1304"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一、一般公共预算财政拨款收入</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1</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1,506.41 </w:t>
                  </w:r>
                </w:p>
              </w:tc>
              <w:tc>
                <w:tcPr>
                  <w:tcW w:w="440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一、一般公共服务支出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32</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1,893.68 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二、政府性基金预算财政拨款收入</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二、外交支出 </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33</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三、国有资本经营预算财政拨款收入</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三、国防支出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34</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四、上级补助收入</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4</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四、公共安全支出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35</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五、事业收入</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5</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五、教育支出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36</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六、经营收入</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六、科学技术支出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37</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七、附属单位上缴收入</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7</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七、文化旅游体育与传媒支出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38</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八、其他收入</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8</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801.02 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八、社会保障和就业支出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39</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210.64 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9</w:t>
                  </w:r>
                </w:p>
              </w:tc>
              <w:tc>
                <w:tcPr>
                  <w:tcW w:w="1304" w:type="dxa"/>
                  <w:tcBorders>
                    <w:bottom w:val="single" w:sz="6" w:space="0" w:color="000000"/>
                    <w:right w:val="single" w:sz="6" w:space="0" w:color="000000"/>
                  </w:tcBorders>
                  <w:shd w:val="clear" w:color="auto" w:fill="auto"/>
                  <w:noWrap/>
                  <w:vAlign w:val="center"/>
                </w:tcPr>
                <w:p>
                  <w:pPr>
                    <w:widowControl/>
                    <w:jc w:val="center"/>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九、卫生健康支出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40</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116.43 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10</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十、节能环保支出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41</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11</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十一、城乡社区支出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42</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12</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十二、农林水支出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43</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13</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十三、交通运输支出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44</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14</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十四、资源勘探工业信息等支出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45</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15</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十五、商业服务业等支出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46</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16</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十六、金融支出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47</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17</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十七、援助其他地区支出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48</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18</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十八、自然资源海洋气象等支出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49</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19</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十九、住房保障支出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50</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245.56 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20</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二十、粮油物资储备支出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51</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21</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二十一、国有资本经营预算支出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52</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22</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二十二、灾害防治及应急管理支出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53</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23</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二十三、其他支出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54</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24</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二十四、债务还本支出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55</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25</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二十五、债务付息支出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56</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26</w:t>
                  </w:r>
                </w:p>
              </w:tc>
              <w:tc>
                <w:tcPr>
                  <w:tcW w:w="1304" w:type="dxa"/>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4"/>
                    </w:rPr>
                  </w:pPr>
                  <w:r>
                    <w:rPr>
                      <w:rFonts w:ascii="Arial" w:cs="Arial" w:hAnsi="Arial"/>
                      <w:color w:val="000000"/>
                      <w:kern w:val="0"/>
                      <w:sz w:val="24"/>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二十六、抗疫特别国债安排的支出</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57</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本年收入合计</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27</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2,307.43 </w:t>
                  </w:r>
                </w:p>
              </w:tc>
              <w:tc>
                <w:tcPr>
                  <w:tcW w:w="4406" w:type="dxa"/>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本年支出合计</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58</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2,516.27 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使用非财政拨款结余（含专用结余）</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28</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结余分配</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59</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年初结转和结余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29</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257.32 </w:t>
                  </w:r>
                </w:p>
              </w:tc>
              <w:tc>
                <w:tcPr>
                  <w:tcW w:w="440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年末结转和结余 </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60</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48.48 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30</w:t>
                  </w:r>
                </w:p>
              </w:tc>
              <w:tc>
                <w:tcPr>
                  <w:tcW w:w="1304" w:type="dxa"/>
                  <w:tcBorders>
                    <w:bottom w:val="single" w:sz="6" w:space="0" w:color="000000"/>
                    <w:right w:val="single" w:sz="6" w:space="0" w:color="000000"/>
                  </w:tcBorders>
                  <w:shd w:val="clear" w:color="auto" w:fill="auto"/>
                  <w:noWrap/>
                  <w:vAlign w:val="center"/>
                </w:tcPr>
                <w:p>
                  <w:pPr>
                    <w:widowControl/>
                    <w:jc w:val="center"/>
                    <w:rPr>
                      <w:rFonts w:ascii="Arial" w:cs="Arial" w:hAnsi="Arial"/>
                      <w:color w:val="000000"/>
                      <w:kern w:val="0"/>
                      <w:sz w:val="22"/>
                      <w:szCs w:val="22"/>
                    </w:rPr>
                  </w:pPr>
                  <w:r>
                    <w:rPr>
                      <w:rFonts w:ascii="Arial" w:cs="Arial" w:hAnsi="Arial"/>
                      <w:color w:val="000000"/>
                      <w:kern w:val="0"/>
                      <w:sz w:val="22"/>
                      <w:szCs w:val="22"/>
                    </w:rPr>
                    <w:t>　</w:t>
                  </w:r>
                </w:p>
              </w:tc>
              <w:tc>
                <w:tcPr>
                  <w:tcW w:w="440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61</w:t>
                  </w:r>
                </w:p>
              </w:tc>
              <w:tc>
                <w:tcPr>
                  <w:tcW w:w="1304" w:type="dxa"/>
                  <w:tcBorders>
                    <w:bottom w:val="single" w:sz="6" w:space="0" w:color="000000"/>
                    <w:right w:val="single" w:sz="6" w:space="0" w:color="000000"/>
                  </w:tcBorders>
                  <w:shd w:val="clear" w:color="auto" w:fill="auto"/>
                  <w:noWrap/>
                  <w:vAlign w:val="center"/>
                </w:tcPr>
                <w:p>
                  <w:pPr>
                    <w:widowControl/>
                    <w:jc w:val="center"/>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4719" w:type="dxa"/>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总计</w:t>
                  </w:r>
                </w:p>
              </w:tc>
              <w:tc>
                <w:tcPr>
                  <w:tcW w:w="810"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31</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2,564.75 </w:t>
                  </w:r>
                </w:p>
              </w:tc>
              <w:tc>
                <w:tcPr>
                  <w:tcW w:w="4406" w:type="dxa"/>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总计</w:t>
                  </w:r>
                </w:p>
              </w:tc>
              <w:tc>
                <w:tcPr>
                  <w:tcW w:w="822"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62</w:t>
                  </w:r>
                </w:p>
              </w:tc>
              <w:tc>
                <w:tcPr>
                  <w:tcW w:w="1304"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2,564.75 </w:t>
                  </w:r>
                </w:p>
              </w:tc>
            </w:tr>
          </w:tbl>
          <w:p>
            <w:pPr>
              <w:widowControl/>
              <w:ind w:firstLineChars="150" w:firstLine="300"/>
              <w:jc w:val="left"/>
              <w:rPr>
                <w:rFonts w:ascii="宋体" w:cs="Arial"/>
                <w:b/>
                <w:color w:val="000000"/>
                <w:kern w:val="0"/>
                <w:sz w:val="20"/>
                <w:szCs w:val="20"/>
              </w:rPr>
            </w:pPr>
          </w:p>
        </w:tc>
        <w:tc>
          <w:tcPr>
            <w:tcW w:w="64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402"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578"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64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966" w:type="dxa"/>
            <w:tcBorders>
              <w:top w:val="nil"/>
              <w:left w:val="nil"/>
              <w:bottom w:val="nil"/>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08"/>
        </w:trPr>
        <w:tc>
          <w:tcPr>
            <w:tcW w:w="23584" w:type="dxa"/>
            <w:gridSpan w:val="12"/>
            <w:tcBorders>
              <w:top w:val="nil"/>
              <w:left w:val="nil"/>
              <w:bottom w:val="nil"/>
              <w:right w:val="nil"/>
            </w:tcBorders>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w:t>
            </w:r>
            <w:r>
              <w:rPr>
                <w:rFonts w:ascii="宋体" w:cs="Arial"/>
                <w:color w:val="000000"/>
                <w:kern w:val="0"/>
                <w:sz w:val="22"/>
                <w:szCs w:val="22"/>
              </w:rPr>
              <w:t>1.</w:t>
            </w:r>
            <w:r>
              <w:rPr>
                <w:rFonts w:ascii="宋体" w:cs="Arial" w:hint="eastAsia"/>
                <w:color w:val="000000"/>
                <w:kern w:val="0"/>
                <w:sz w:val="22"/>
                <w:szCs w:val="22"/>
              </w:rPr>
              <w:t>本表反映部门本年度的总收支和年末结转结余情况。</w:t>
            </w:r>
          </w:p>
        </w:tc>
      </w:tr>
      <w:tr>
        <w:trPr>
          <w:trHeight w:val="308"/>
        </w:trPr>
        <w:tc>
          <w:tcPr>
            <w:tcW w:w="23584" w:type="dxa"/>
            <w:gridSpan w:val="12"/>
            <w:tcBorders>
              <w:top w:val="nil"/>
              <w:left w:val="nil"/>
              <w:bottom w:val="nil"/>
              <w:right w:val="nil"/>
            </w:tcBorders>
            <w:noWrap/>
            <w:vAlign w:val="center"/>
          </w:tcPr>
          <w:p>
            <w:pPr>
              <w:widowControl/>
              <w:jc w:val="left"/>
              <w:rPr>
                <w:rFonts w:ascii="宋体" w:cs="Arial"/>
                <w:color w:val="000000"/>
                <w:kern w:val="0"/>
                <w:sz w:val="22"/>
                <w:szCs w:val="22"/>
              </w:rPr>
            </w:pPr>
            <w:r>
              <w:rPr>
                <w:rFonts w:ascii="宋体" w:cs="Arial"/>
                <w:color w:val="000000"/>
                <w:kern w:val="0"/>
                <w:sz w:val="22"/>
                <w:szCs w:val="22"/>
              </w:rPr>
              <w:t xml:space="preserve">    2.</w:t>
            </w:r>
            <w:r>
              <w:rPr>
                <w:rFonts w:ascii="宋体" w:cs="Arial" w:hint="eastAsia"/>
                <w:color w:val="000000"/>
                <w:kern w:val="0"/>
                <w:sz w:val="22"/>
                <w:szCs w:val="22"/>
              </w:rPr>
              <w:t>本套报表金额单位转换时可能存在尾数误差。</w:t>
            </w:r>
          </w:p>
        </w:tc>
      </w:tr>
    </w:tbl>
    <w:p/>
    <w:p/>
    <w:p/>
    <w:p/>
    <w:p/>
    <w:p/>
    <w:p/>
    <w:p/>
    <w:p/>
    <w:p/>
    <w:p/>
    <w:p/>
    <w:p/>
    <w:p/>
    <w:p/>
    <w:p/>
    <w:p/>
    <w:tbl>
      <w:tblPr>
        <w:jc w:val="left"/>
        <w:tblInd w:w="93" w:type="dxa"/>
        <w:tblW w:w="18123"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769"/>
        <w:gridCol w:w="12267"/>
        <w:gridCol w:w="390"/>
        <w:gridCol w:w="317"/>
        <w:gridCol w:w="355"/>
        <w:gridCol w:w="288"/>
        <w:gridCol w:w="350"/>
        <w:gridCol w:w="387"/>
      </w:tblGrid>
      <w:tr>
        <w:trPr>
          <w:trHeight w:val="255"/>
          <w:gridAfter w:val="7"/>
          <w:wAfter w:w="14354" w:type="dxa"/>
        </w:trPr>
        <w:tc>
          <w:tcPr>
            <w:tcW w:w="3769" w:type="dxa"/>
            <w:tcBorders>
              <w:top w:val="nil"/>
              <w:left w:val="nil"/>
              <w:bottom w:val="nil"/>
              <w:right w:val="nil"/>
            </w:tcBorders>
            <w:noWrap/>
            <w:vAlign w:val="bottom"/>
          </w:tcPr>
          <w:p>
            <w:pPr>
              <w:widowControl/>
              <w:wordWrap w:val="0"/>
              <w:jc w:val="right"/>
              <w:rPr>
                <w:rFonts w:ascii="宋体" w:cs="Arial"/>
                <w:color w:val="000000"/>
                <w:kern w:val="0"/>
                <w:sz w:val="20"/>
                <w:szCs w:val="20"/>
              </w:rPr>
            </w:pPr>
          </w:p>
        </w:tc>
      </w:tr>
      <w:tr>
        <w:trPr>
          <w:trHeight w:val="255"/>
          <w:gridAfter w:val="6"/>
          <w:wAfter w:w="2087" w:type="dxa"/>
        </w:trPr>
        <w:tc>
          <w:tcPr>
            <w:tcW w:w="16036" w:type="dxa"/>
            <w:gridSpan w:val="2"/>
            <w:tcBorders>
              <w:top w:val="nil"/>
              <w:left w:val="nil"/>
              <w:bottom w:val="nil"/>
              <w:right w:val="nil"/>
            </w:tcBorders>
            <w:noWrap/>
            <w:vAlign w:val="bottom"/>
          </w:tcPr>
          <w:p>
            <w:pPr>
              <w:widowControl/>
              <w:ind w:firstLineChars="2000" w:firstLine="6400"/>
              <w:rPr>
                <w:rFonts w:ascii="方正黑体_GBK" w:eastAsia="方正黑体_GBK" w:cs="Arial"/>
                <w:color w:val="000000"/>
                <w:kern w:val="0"/>
                <w:sz w:val="32"/>
                <w:szCs w:val="32"/>
              </w:rPr>
            </w:pPr>
            <w:r>
              <w:rPr>
                <w:rFonts w:ascii="方正黑体_GBK" w:eastAsia="方正黑体_GBK" w:cs="Arial" w:hint="eastAsia"/>
                <w:color w:val="000000"/>
                <w:kern w:val="0"/>
                <w:sz w:val="32"/>
                <w:szCs w:val="32"/>
              </w:rPr>
              <w:t>收入决算表</w:t>
            </w:r>
          </w:p>
          <w:p>
            <w:pPr>
              <w:widowControl/>
              <w:ind w:firstLineChars="150" w:firstLine="300"/>
              <w:jc w:val="center"/>
              <w:rPr>
                <w:rFonts w:ascii="宋体" w:cs="Arial"/>
                <w:color w:val="000000"/>
                <w:kern w:val="0"/>
                <w:sz w:val="20"/>
                <w:szCs w:val="20"/>
              </w:rPr>
            </w:pPr>
            <w:r>
              <w:rPr>
                <w:rFonts w:ascii="宋体" w:cs="Arial" w:hint="eastAsia"/>
                <w:color w:val="000000"/>
                <w:kern w:val="0"/>
                <w:sz w:val="20"/>
                <w:szCs w:val="20"/>
              </w:rPr>
              <w:t xml:space="preserve">                                                                                                 公开</w:t>
            </w:r>
            <w:r>
              <w:rPr>
                <w:rFonts w:ascii="宋体" w:cs="Arial"/>
                <w:color w:val="000000"/>
                <w:kern w:val="0"/>
                <w:sz w:val="20"/>
                <w:szCs w:val="20"/>
              </w:rPr>
              <w:t>0</w:t>
            </w:r>
            <w:r>
              <w:rPr>
                <w:rFonts w:ascii="宋体" w:cs="Arial" w:hint="eastAsia"/>
                <w:color w:val="000000"/>
                <w:kern w:val="0"/>
                <w:sz w:val="20"/>
                <w:szCs w:val="20"/>
              </w:rPr>
              <w:t>2表</w:t>
            </w:r>
          </w:p>
          <w:p>
            <w:pPr>
              <w:widowControl/>
              <w:jc w:val="left"/>
              <w:rPr>
                <w:rFonts w:ascii="宋体" w:cs="Arial"/>
                <w:color w:val="000000"/>
                <w:kern w:val="0"/>
                <w:sz w:val="20"/>
                <w:szCs w:val="20"/>
              </w:rPr>
            </w:pPr>
            <w:r>
              <w:rPr>
                <w:rFonts w:ascii="宋体" w:cs="Arial" w:hint="eastAsia"/>
                <w:color w:val="000000"/>
                <w:kern w:val="0"/>
                <w:sz w:val="20"/>
                <w:szCs w:val="20"/>
              </w:rPr>
              <w:t>部门：济南机场海关                                                                                                       金额单位：万元</w:t>
            </w:r>
          </w:p>
        </w:tc>
      </w:tr>
      <w:tr>
        <w:trPr>
          <w:trHeight w:val="255"/>
        </w:trPr>
        <w:tc>
          <w:tcPr>
            <w:tcW w:w="16036" w:type="dxa"/>
            <w:gridSpan w:val="2"/>
            <w:tcBorders>
              <w:top w:val="nil"/>
              <w:left w:val="nil"/>
              <w:bottom w:val="nil"/>
              <w:right w:val="nil"/>
            </w:tcBorders>
            <w:noWrap/>
            <w:vAlign w:val="bottom"/>
          </w:tcPr>
          <w:tbl>
            <w:tblPr>
              <w:jc w:val="left"/>
              <w:tblBorders>
                <w:top w:val="none" w:sz="0" w:space="0" w:color="auto"/>
                <w:left w:val="none" w:sz="0" w:space="0" w:color="auto"/>
                <w:bottom w:val="none" w:sz="0" w:space="0" w:color="auto"/>
                <w:right w:val="none" w:sz="0" w:space="0" w:color="auto"/>
              </w:tblBorders>
              <w:tblLayout w:type="fixed"/>
              <w:tblCellMar>
                <w:top w:w="15" w:type="dxa"/>
                <w:left w:w="108" w:type="dxa"/>
                <w:bottom w:w="15" w:type="dxa"/>
                <w:right w:w="108" w:type="dxa"/>
              </w:tblCellMar>
            </w:tblPr>
            <w:tblGrid>
              <w:gridCol w:w="1096"/>
              <w:gridCol w:w="4616"/>
              <w:gridCol w:w="1418"/>
              <w:gridCol w:w="1418"/>
              <w:gridCol w:w="1021"/>
              <w:gridCol w:w="1021"/>
              <w:gridCol w:w="1021"/>
              <w:gridCol w:w="1021"/>
              <w:gridCol w:w="1021"/>
            </w:tblGrid>
            <w:tr>
              <w:trPr>
                <w:trHeight w:val="300"/>
              </w:trPr>
              <w:tc>
                <w:tcPr>
                  <w:tcW w:w="5712" w:type="dxa"/>
                  <w:gridSpan w:val="2"/>
                  <w:tcBorders>
                    <w:top w:val="single" w:sz="6" w:space="0" w:color="000000"/>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项目</w:t>
                  </w:r>
                </w:p>
              </w:tc>
              <w:tc>
                <w:tcPr>
                  <w:tcW w:w="1418" w:type="dxa"/>
                  <w:vMerge w:val="restart"/>
                  <w:tcBorders>
                    <w:top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本年收入合计</w:t>
                  </w:r>
                </w:p>
              </w:tc>
              <w:tc>
                <w:tcPr>
                  <w:tcW w:w="1418" w:type="dxa"/>
                  <w:vMerge w:val="restart"/>
                  <w:tcBorders>
                    <w:top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财政拨款收入 </w:t>
                  </w:r>
                </w:p>
              </w:tc>
              <w:tc>
                <w:tcPr>
                  <w:tcW w:w="1021" w:type="dxa"/>
                  <w:vMerge w:val="restart"/>
                  <w:tcBorders>
                    <w:top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上级补助收入</w:t>
                  </w:r>
                </w:p>
              </w:tc>
              <w:tc>
                <w:tcPr>
                  <w:tcW w:w="1021" w:type="dxa"/>
                  <w:vMerge w:val="restart"/>
                  <w:tcBorders>
                    <w:top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事业收入</w:t>
                  </w:r>
                </w:p>
              </w:tc>
              <w:tc>
                <w:tcPr>
                  <w:tcW w:w="1021" w:type="dxa"/>
                  <w:vMerge w:val="restart"/>
                  <w:tcBorders>
                    <w:top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经营收入</w:t>
                  </w:r>
                </w:p>
              </w:tc>
              <w:tc>
                <w:tcPr>
                  <w:tcW w:w="1021" w:type="dxa"/>
                  <w:vMerge w:val="restart"/>
                  <w:tcBorders>
                    <w:top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附属单位上缴收入</w:t>
                  </w:r>
                </w:p>
              </w:tc>
              <w:tc>
                <w:tcPr>
                  <w:tcW w:w="1021" w:type="dxa"/>
                  <w:vMerge w:val="restart"/>
                  <w:tcBorders>
                    <w:top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其他收入</w:t>
                  </w:r>
                </w:p>
              </w:tc>
            </w:tr>
            <w:tr>
              <w:trPr>
                <w:trHeight w:val="312"/>
              </w:trPr>
              <w:tc>
                <w:tcPr>
                  <w:tcW w:w="1096" w:type="dxa"/>
                  <w:vMerge w:val="restart"/>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科目代码</w:t>
                  </w:r>
                </w:p>
              </w:tc>
              <w:tc>
                <w:tcPr>
                  <w:tcW w:w="4616" w:type="dxa"/>
                  <w:vMerge w:val="restar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科目名称</w:t>
                  </w:r>
                </w:p>
              </w:tc>
              <w:tc>
                <w:tcPr>
                  <w:tcW w:w="1418" w:type="dxa"/>
                  <w:vMerge/>
                  <w:tcBorders>
                    <w:top w:val="single" w:sz="6" w:space="0" w:color="000000"/>
                    <w:bottom w:val="single" w:sz="6" w:space="0" w:color="000000"/>
                    <w:right w:val="single" w:sz="6" w:space="0" w:color="000000"/>
                  </w:tcBorders>
                  <w:vAlign w:val="center"/>
                </w:tcPr>
                <w:p/>
              </w:tc>
              <w:tc>
                <w:tcPr>
                  <w:tcW w:w="1418"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r>
            <w:tr>
              <w:trPr>
                <w:trHeight w:val="312"/>
              </w:trPr>
              <w:tc>
                <w:tcPr>
                  <w:tcW w:w="1096" w:type="dxa"/>
                  <w:vMerge/>
                  <w:tcBorders>
                    <w:left w:val="single" w:sz="6" w:space="0" w:color="000000"/>
                    <w:bottom w:val="single" w:sz="6" w:space="0" w:color="000000"/>
                    <w:right w:val="single" w:sz="6" w:space="0" w:color="000000"/>
                  </w:tcBorders>
                  <w:vAlign w:val="center"/>
                </w:tcPr>
                <w:p/>
              </w:tc>
              <w:tc>
                <w:tcPr>
                  <w:tcW w:w="4616" w:type="dxa"/>
                  <w:vMerge/>
                  <w:tcBorders>
                    <w:bottom w:val="single" w:sz="6" w:space="0" w:color="000000"/>
                    <w:right w:val="single" w:sz="6" w:space="0" w:color="000000"/>
                  </w:tcBorders>
                  <w:vAlign w:val="center"/>
                </w:tcPr>
                <w:p/>
              </w:tc>
              <w:tc>
                <w:tcPr>
                  <w:tcW w:w="1418" w:type="dxa"/>
                  <w:vMerge/>
                  <w:tcBorders>
                    <w:top w:val="single" w:sz="6" w:space="0" w:color="000000"/>
                    <w:bottom w:val="single" w:sz="6" w:space="0" w:color="000000"/>
                    <w:right w:val="single" w:sz="6" w:space="0" w:color="000000"/>
                  </w:tcBorders>
                  <w:vAlign w:val="center"/>
                </w:tcPr>
                <w:p/>
              </w:tc>
              <w:tc>
                <w:tcPr>
                  <w:tcW w:w="1418"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c>
                <w:tcPr>
                  <w:tcW w:w="1021" w:type="dxa"/>
                  <w:vMerge/>
                  <w:tcBorders>
                    <w:top w:val="single" w:sz="6" w:space="0" w:color="000000"/>
                    <w:bottom w:val="single" w:sz="6" w:space="0" w:color="000000"/>
                    <w:right w:val="single" w:sz="6" w:space="0" w:color="000000"/>
                  </w:tcBorders>
                  <w:vAlign w:val="center"/>
                </w:tcPr>
                <w:p/>
              </w:tc>
            </w:tr>
            <w:tr>
              <w:trPr>
                <w:trHeight w:val="300"/>
              </w:trPr>
              <w:tc>
                <w:tcPr>
                  <w:tcW w:w="5712" w:type="dxa"/>
                  <w:gridSpan w:val="2"/>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栏次</w:t>
                  </w:r>
                </w:p>
              </w:tc>
              <w:tc>
                <w:tcPr>
                  <w:tcW w:w="1418"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1</w:t>
                  </w:r>
                </w:p>
              </w:tc>
              <w:tc>
                <w:tcPr>
                  <w:tcW w:w="1418"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w:t>
                  </w:r>
                </w:p>
              </w:tc>
              <w:tc>
                <w:tcPr>
                  <w:tcW w:w="1021"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w:t>
                  </w:r>
                </w:p>
              </w:tc>
              <w:tc>
                <w:tcPr>
                  <w:tcW w:w="1021"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4</w:t>
                  </w:r>
                </w:p>
              </w:tc>
              <w:tc>
                <w:tcPr>
                  <w:tcW w:w="1021"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5</w:t>
                  </w:r>
                </w:p>
              </w:tc>
              <w:tc>
                <w:tcPr>
                  <w:tcW w:w="1021"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w:t>
                  </w:r>
                </w:p>
              </w:tc>
              <w:tc>
                <w:tcPr>
                  <w:tcW w:w="1021" w:type="dxa"/>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7</w:t>
                  </w:r>
                </w:p>
              </w:tc>
            </w:tr>
            <w:tr>
              <w:trPr>
                <w:trHeight w:val="300"/>
              </w:trPr>
              <w:tc>
                <w:tcPr>
                  <w:tcW w:w="5712" w:type="dxa"/>
                  <w:gridSpan w:val="2"/>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合计</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2,307.43 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1,506.41 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801.02 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201</w:t>
                  </w:r>
                </w:p>
              </w:tc>
              <w:tc>
                <w:tcPr>
                  <w:tcW w:w="461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一般公共服务支出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1,684.85 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1,045.61 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639.24 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20109</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海关事务</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1,684.85 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1,045.61 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639.24 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2010901</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行政运行</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1,591.25 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952.01 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639.24 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2010905</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缉私办案</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15.70 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15.70 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2010909</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海关关务</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25.56 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25.56 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2010911</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海关监管</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18.84 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18.84 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2010912</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检验检疫</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33.50 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33.50 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204</w:t>
                  </w:r>
                </w:p>
              </w:tc>
              <w:tc>
                <w:tcPr>
                  <w:tcW w:w="461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公共安全支出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20410</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缉私警察</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2041001</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行政运行</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208</w:t>
                  </w:r>
                </w:p>
              </w:tc>
              <w:tc>
                <w:tcPr>
                  <w:tcW w:w="461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社会保障和就业支出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210.64 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127.50 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83.14 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20805</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行政事业单位养老支出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210.64 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127.50 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83.14 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2080501</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行政单位离退休</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0.87 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0.87 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2080505</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机关事业单位基本养老保险缴费支出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139.85 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84.42 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55.43 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2080506</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机关事业单位职业年金缴费支出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69.92 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42.21 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27.71 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210</w:t>
                  </w:r>
                </w:p>
              </w:tc>
              <w:tc>
                <w:tcPr>
                  <w:tcW w:w="461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卫生健康支出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116.43 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64.32 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52.11 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21011</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行政事业单位医疗</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116.43 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64.32 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52.11 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2101101</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行政单位医疗</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116.43 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64.32 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52.11 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221</w:t>
                  </w:r>
                </w:p>
              </w:tc>
              <w:tc>
                <w:tcPr>
                  <w:tcW w:w="4616" w:type="dxa"/>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住房保障支出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245.56 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219.02 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26.54 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22102</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住房改革支出</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245.56 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219.02 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26.54 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2210201</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住房公积金</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167.39 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140.85 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26.54 </w:t>
                  </w:r>
                </w:p>
              </w:tc>
            </w:tr>
            <w:tr>
              <w:trPr>
                <w:trHeight w:val="300"/>
              </w:trPr>
              <w:tc>
                <w:tcPr>
                  <w:tcW w:w="1096" w:type="dxa"/>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2210203</w:t>
                  </w:r>
                </w:p>
              </w:tc>
              <w:tc>
                <w:tcPr>
                  <w:tcW w:w="4616" w:type="dxa"/>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购房补贴</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78.17 </w:t>
                  </w:r>
                </w:p>
              </w:tc>
              <w:tc>
                <w:tcPr>
                  <w:tcW w:w="1418"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78.17 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021" w:type="dxa"/>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bl>
          <w:p>
            <w:pPr>
              <w:widowControl/>
              <w:jc w:val="left"/>
              <w:rPr>
                <w:rFonts w:ascii="宋体" w:cs="Arial"/>
                <w:color w:val="000000"/>
                <w:kern w:val="0"/>
                <w:sz w:val="20"/>
                <w:szCs w:val="20"/>
              </w:rPr>
            </w:pPr>
          </w:p>
          <w:p>
            <w:pPr>
              <w:widowControl/>
              <w:jc w:val="left"/>
              <w:rPr>
                <w:rFonts w:ascii="宋体" w:cs="Arial"/>
                <w:color w:val="000000"/>
                <w:kern w:val="0"/>
                <w:sz w:val="20"/>
                <w:szCs w:val="20"/>
              </w:rPr>
            </w:pPr>
          </w:p>
          <w:p>
            <w:pPr>
              <w:widowControl/>
              <w:jc w:val="left"/>
              <w:rPr>
                <w:rFonts w:ascii="宋体" w:cs="Arial"/>
                <w:color w:val="000000"/>
                <w:kern w:val="0"/>
                <w:sz w:val="20"/>
                <w:szCs w:val="20"/>
              </w:rPr>
            </w:pPr>
          </w:p>
        </w:tc>
        <w:tc>
          <w:tcPr>
            <w:tcW w:w="390"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17"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55"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88"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50"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87" w:type="dxa"/>
            <w:tcBorders>
              <w:top w:val="nil"/>
              <w:left w:val="nil"/>
              <w:bottom w:val="nil"/>
              <w:right w:val="nil"/>
            </w:tcBorders>
            <w:noWrap/>
            <w:vAlign w:val="bottom"/>
          </w:tcPr>
          <w:p>
            <w:pPr>
              <w:widowControl/>
              <w:jc w:val="right"/>
              <w:rPr>
                <w:rFonts w:ascii="宋体" w:cs="Arial"/>
                <w:color w:val="000000"/>
                <w:kern w:val="0"/>
                <w:sz w:val="20"/>
                <w:szCs w:val="20"/>
              </w:rPr>
            </w:pPr>
          </w:p>
        </w:tc>
      </w:tr>
    </w:tbl>
    <w:p/>
    <w:p/>
    <w:p/>
    <w:p/>
    <w:p/>
    <w:p/>
    <w:p/>
    <w:p/>
    <w:p/>
    <w:p/>
    <w:p/>
    <w:p/>
    <w:p/>
    <w:p/>
    <w:p/>
    <w:p/>
    <w:p/>
    <w:p/>
    <w:p/>
    <w:p/>
    <w:p/>
    <w:p/>
    <w:p/>
    <w:tbl>
      <w:tblPr>
        <w:jc w:val="left"/>
        <w:tblInd w:w="93" w:type="dxa"/>
        <w:tblW w:w="1408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15"/>
        <w:gridCol w:w="4614"/>
        <w:gridCol w:w="1757"/>
        <w:gridCol w:w="1269"/>
        <w:gridCol w:w="951"/>
        <w:gridCol w:w="1114"/>
        <w:gridCol w:w="220"/>
        <w:gridCol w:w="1308"/>
        <w:gridCol w:w="1726"/>
        <w:gridCol w:w="9"/>
      </w:tblGrid>
      <w:tr>
        <w:trPr>
          <w:trHeight w:val="390"/>
          <w:gridAfter w:val="4"/>
          <w:wAfter w:w="3263" w:type="dxa"/>
        </w:trPr>
        <w:tc>
          <w:tcPr>
            <w:tcW w:w="10820" w:type="dxa"/>
            <w:gridSpan w:val="6"/>
            <w:tcBorders>
              <w:top w:val="nil"/>
              <w:left w:val="nil"/>
              <w:bottom w:val="nil"/>
              <w:right w:val="nil"/>
            </w:tcBorders>
            <w:noWrap/>
            <w:vAlign w:val="bottom"/>
          </w:tcPr>
          <w:p>
            <w:pPr>
              <w:widowControl/>
              <w:jc w:val="center"/>
              <w:rPr>
                <w:rFonts w:ascii="宋体" w:cs="Arial"/>
                <w:color w:val="000000"/>
                <w:kern w:val="0"/>
                <w:sz w:val="30"/>
                <w:szCs w:val="30"/>
              </w:rPr>
            </w:pPr>
            <w:r>
              <w:rPr>
                <w:rFonts w:ascii="方正黑体_GBK" w:eastAsia="方正黑体_GBK" w:cs="Arial" w:hint="eastAsia"/>
                <w:color w:val="000000"/>
                <w:kern w:val="0"/>
                <w:sz w:val="32"/>
                <w:szCs w:val="32"/>
              </w:rPr>
              <w:t xml:space="preserve">                支出决算表</w:t>
            </w:r>
          </w:p>
        </w:tc>
      </w:tr>
      <w:tr>
        <w:trPr>
          <w:trHeight w:val="255"/>
          <w:gridAfter w:val="1"/>
          <w:wAfter w:w="9" w:type="dxa"/>
        </w:trPr>
        <w:tc>
          <w:tcPr>
            <w:tcW w:w="10820" w:type="dxa"/>
            <w:gridSpan w:val="6"/>
            <w:tcBorders>
              <w:top w:val="nil"/>
              <w:left w:val="nil"/>
              <w:bottom w:val="nil"/>
            </w:tcBorders>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 xml:space="preserve">部门：济南机场海关  </w:t>
            </w:r>
          </w:p>
        </w:tc>
        <w:tc>
          <w:tcPr>
            <w:tcW w:w="3254" w:type="dxa"/>
            <w:gridSpan w:val="3"/>
            <w:shd w:val="clear" w:color="auto" w:fill="auto"/>
          </w:tcPr>
          <w:p>
            <w:pPr>
              <w:widowControl/>
              <w:ind w:firstLineChars="1050" w:firstLine="2100"/>
              <w:jc w:val="left"/>
            </w:pPr>
            <w:r>
              <w:rPr>
                <w:rFonts w:ascii="宋体" w:cs="Arial" w:hint="eastAsia"/>
                <w:color w:val="000000"/>
                <w:kern w:val="0"/>
                <w:sz w:val="20"/>
                <w:szCs w:val="20"/>
              </w:rPr>
              <w:t>公开</w:t>
            </w:r>
            <w:r>
              <w:rPr>
                <w:rFonts w:ascii="宋体" w:cs="Arial"/>
                <w:color w:val="000000"/>
                <w:kern w:val="0"/>
                <w:sz w:val="20"/>
                <w:szCs w:val="20"/>
              </w:rPr>
              <w:t>03</w:t>
            </w:r>
            <w:r>
              <w:rPr>
                <w:rFonts w:ascii="宋体" w:cs="Arial" w:hint="eastAsia"/>
                <w:color w:val="000000"/>
                <w:kern w:val="0"/>
                <w:sz w:val="20"/>
                <w:szCs w:val="20"/>
              </w:rPr>
              <w:t>表</w:t>
            </w:r>
          </w:p>
          <w:p>
            <w:pPr>
              <w:widowControl/>
              <w:jc w:val="right"/>
              <w:rPr>
                <w:rFonts w:ascii="宋体" w:cs="Arial"/>
                <w:color w:val="000000"/>
                <w:kern w:val="0"/>
                <w:sz w:val="20"/>
                <w:szCs w:val="20"/>
              </w:rPr>
            </w:pPr>
            <w:r>
              <w:rPr>
                <w:rFonts w:ascii="宋体" w:cs="Arial" w:hint="eastAsia"/>
                <w:color w:val="000000"/>
                <w:kern w:val="0"/>
                <w:sz w:val="20"/>
                <w:szCs w:val="20"/>
              </w:rPr>
              <w:t xml:space="preserve"> 金额单位：万元</w:t>
            </w:r>
          </w:p>
        </w:tc>
      </w:tr>
      <w:tr>
        <w:trPr>
          <w:trHeight w:val="300"/>
        </w:trPr>
        <w:tc>
          <w:tcPr>
            <w:tcW w:w="5729" w:type="dxa"/>
            <w:gridSpan w:val="2"/>
            <w:tcBorders>
              <w:top w:val="single" w:sz="6" w:space="0" w:color="000000"/>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项目</w:t>
            </w:r>
          </w:p>
        </w:tc>
        <w:tc>
          <w:tcPr>
            <w:tcW w:w="1757" w:type="dxa"/>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本年支出合计</w:t>
            </w:r>
          </w:p>
        </w:tc>
        <w:tc>
          <w:tcPr>
            <w:tcW w:w="1269" w:type="dxa"/>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基本支出</w:t>
            </w:r>
          </w:p>
        </w:tc>
        <w:tc>
          <w:tcPr>
            <w:tcW w:w="951" w:type="dxa"/>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项目支出</w:t>
            </w:r>
          </w:p>
        </w:tc>
        <w:tc>
          <w:tcPr>
            <w:tcW w:w="1334" w:type="dxa"/>
            <w:gridSpan w:val="2"/>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上缴上级支出</w:t>
            </w:r>
          </w:p>
        </w:tc>
        <w:tc>
          <w:tcPr>
            <w:tcW w:w="1308" w:type="dxa"/>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经营支出</w:t>
            </w:r>
          </w:p>
        </w:tc>
        <w:tc>
          <w:tcPr>
            <w:tcW w:w="1735" w:type="dxa"/>
            <w:gridSpan w:val="2"/>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对附属单位补助支出</w:t>
            </w:r>
          </w:p>
        </w:tc>
      </w:tr>
      <w:tr>
        <w:trPr>
          <w:trHeight w:val="312"/>
        </w:trPr>
        <w:tc>
          <w:tcPr>
            <w:tcW w:w="1115" w:type="dxa"/>
            <w:vMerge w:val="restart"/>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科目代码</w:t>
            </w:r>
          </w:p>
        </w:tc>
        <w:tc>
          <w:tcPr>
            <w:tcW w:w="4614" w:type="dxa"/>
            <w:vMerge w:val="restart"/>
            <w:tcBorders>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科目名称</w:t>
            </w:r>
          </w:p>
        </w:tc>
        <w:tc>
          <w:tcPr>
            <w:tcW w:w="1757"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1269"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951"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1334"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c>
          <w:tcPr>
            <w:tcW w:w="1308"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1735"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r>
      <w:tr>
        <w:trPr>
          <w:trHeight w:val="312"/>
        </w:trPr>
        <w:tc>
          <w:tcPr>
            <w:tcW w:w="1115" w:type="dxa"/>
            <w:vMerge/>
            <w:tcBorders>
              <w:left w:val="single" w:sz="6" w:space="0" w:color="000000"/>
              <w:bottom w:val="single" w:sz="6" w:space="0" w:color="000000"/>
              <w:right w:val="single" w:sz="6" w:space="0" w:color="000000"/>
            </w:tcBorders>
            <w:noWrap/>
            <w:tcMar>
              <w:top w:w="15" w:type="dxa"/>
              <w:bottom w:w="15" w:type="dxa"/>
            </w:tcMar>
            <w:vAlign w:val="center"/>
          </w:tcPr>
          <w:p/>
        </w:tc>
        <w:tc>
          <w:tcPr>
            <w:tcW w:w="4614" w:type="dxa"/>
            <w:vMerge/>
            <w:tcBorders>
              <w:bottom w:val="single" w:sz="6" w:space="0" w:color="000000"/>
              <w:right w:val="single" w:sz="6" w:space="0" w:color="000000"/>
            </w:tcBorders>
            <w:noWrap/>
            <w:tcMar>
              <w:top w:w="15" w:type="dxa"/>
              <w:bottom w:w="15" w:type="dxa"/>
            </w:tcMar>
            <w:vAlign w:val="center"/>
          </w:tcPr>
          <w:p/>
        </w:tc>
        <w:tc>
          <w:tcPr>
            <w:tcW w:w="1757"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1269"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951"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1334"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c>
          <w:tcPr>
            <w:tcW w:w="1308"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1735"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r>
      <w:tr>
        <w:trPr>
          <w:trHeight w:val="300"/>
        </w:trPr>
        <w:tc>
          <w:tcPr>
            <w:tcW w:w="5729" w:type="dxa"/>
            <w:gridSpan w:val="2"/>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4"/>
              </w:rPr>
            </w:pPr>
            <w:r>
              <w:rPr>
                <w:color w:val="000000"/>
              </w:rPr>
              <w:t>栏次</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4"/>
              </w:rPr>
            </w:pPr>
            <w:r>
              <w:rPr>
                <w:rFonts w:hint="eastAsia"/>
                <w:color w:val="000000"/>
              </w:rPr>
              <w:t>1</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4"/>
              </w:rPr>
            </w:pPr>
            <w:r>
              <w:rPr>
                <w:rFonts w:hint="eastAsia"/>
                <w:color w:val="000000"/>
              </w:rPr>
              <w:t>2</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4"/>
              </w:rPr>
            </w:pPr>
            <w:r>
              <w:rPr>
                <w:rFonts w:hint="eastAsia"/>
                <w:color w:val="000000"/>
              </w:rPr>
              <w:t>3</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4"/>
              </w:rPr>
            </w:pPr>
            <w:r>
              <w:rPr>
                <w:rFonts w:hint="eastAsia"/>
                <w:color w:val="000000"/>
              </w:rPr>
              <w:t>4</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4"/>
              </w:rPr>
            </w:pPr>
            <w:r>
              <w:rPr>
                <w:rFonts w:hint="eastAsia"/>
                <w:color w:val="000000"/>
              </w:rPr>
              <w:t>5</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4"/>
              </w:rPr>
            </w:pPr>
            <w:r>
              <w:rPr>
                <w:rFonts w:hint="eastAsia"/>
                <w:color w:val="000000"/>
              </w:rPr>
              <w:t>6</w:t>
            </w:r>
          </w:p>
        </w:tc>
      </w:tr>
      <w:tr>
        <w:trPr>
          <w:trHeight w:val="300"/>
        </w:trPr>
        <w:tc>
          <w:tcPr>
            <w:tcW w:w="5729" w:type="dxa"/>
            <w:gridSpan w:val="2"/>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合计</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2,516.27 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2,219.47 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296.80 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一般公共服务支出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1,893.68 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1,596.89 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296.80 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海关事务</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1,893.68 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1,596.89 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296.80 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2010901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行政运行</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1,596.89 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1,596.89 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2010902</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一般行政管理事务</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12.50 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12.50 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2010905</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缉私办案</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15.70 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15.70 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2010909</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海关关务</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25.56 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25.56 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2010911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海关监管</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18.84 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18.84 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2010912</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检验检疫</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224.20 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224.20 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204</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公共安全支出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20410</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缉私警察</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2041001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行政运行</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社会保障和就业支出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210.64 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210.64 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20805</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行政事业单位养老支出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210.64 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210.64 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2080501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行政单位离退休</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0.87 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0.87 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2080505</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机关事业单位基本养老保险缴费支出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139.85 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139.85 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2080506</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机关事业单位职业年金缴费支出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69.92 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69.92 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210</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卫生健康支出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116.43 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116.43 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21011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行政事业单位医疗</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116.43 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116.43 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2101101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行政单位医疗</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116.43 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116.43 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221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住房保障支出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245.56 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245.56 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22102</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住房改革支出</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245.56 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245.56 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2210201</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住房公积金</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167.39 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167.39 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115"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2210203</w:t>
            </w:r>
          </w:p>
        </w:tc>
        <w:tc>
          <w:tcPr>
            <w:tcW w:w="4614"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购房补贴</w:t>
            </w:r>
          </w:p>
        </w:tc>
        <w:tc>
          <w:tcPr>
            <w:tcW w:w="1757"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78.17 </w:t>
            </w:r>
          </w:p>
        </w:tc>
        <w:tc>
          <w:tcPr>
            <w:tcW w:w="1269"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78.17 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308"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735"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8"/>
        </w:trPr>
        <w:tc>
          <w:tcPr>
            <w:tcW w:w="14083" w:type="dxa"/>
            <w:gridSpan w:val="10"/>
            <w:tcBorders>
              <w:top w:val="nil"/>
              <w:left w:val="nil"/>
              <w:bottom w:val="nil"/>
              <w:right w:val="nil"/>
            </w:tcBorders>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注：本表反映部门本年度各项支出情况。</w:t>
            </w:r>
          </w:p>
        </w:tc>
      </w:tr>
    </w:tbl>
    <w:p/>
    <w:p/>
    <w:p/>
    <w:p/>
    <w:p/>
    <w:p/>
    <w:p/>
    <w:p/>
    <w:p/>
    <w:p/>
    <w:p/>
    <w:p/>
    <w:p/>
    <w:p/>
    <w:p/>
    <w:p/>
    <w:p/>
    <w:p/>
    <w:p/>
    <w:p/>
    <w:p/>
    <w:p/>
    <w:p/>
    <w:p/>
    <w:tbl>
      <w:tblPr>
        <w:jc w:val="left"/>
        <w:tblInd w:w="93" w:type="dxa"/>
        <w:tblW w:w="1478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327"/>
        <w:gridCol w:w="472"/>
        <w:gridCol w:w="1036"/>
        <w:gridCol w:w="4178"/>
        <w:gridCol w:w="472"/>
        <w:gridCol w:w="1206"/>
        <w:gridCol w:w="3111"/>
        <w:gridCol w:w="984"/>
      </w:tblGrid>
      <w:tr>
        <w:trPr>
          <w:trHeight w:val="390"/>
        </w:trPr>
        <w:tc>
          <w:tcPr>
            <w:tcW w:w="14786" w:type="dxa"/>
            <w:gridSpan w:val="8"/>
            <w:tcBorders>
              <w:top w:val="nil"/>
              <w:left w:val="nil"/>
              <w:bottom w:val="nil"/>
              <w:right w:val="nil"/>
            </w:tcBorders>
            <w:noWrap/>
            <w:vAlign w:val="bottom"/>
          </w:tcPr>
          <w:p>
            <w:pPr>
              <w:widowControl/>
              <w:jc w:val="center"/>
              <w:rPr>
                <w:rFonts w:ascii="宋体" w:cs="Arial"/>
                <w:color w:val="000000"/>
                <w:kern w:val="0"/>
                <w:sz w:val="30"/>
                <w:szCs w:val="30"/>
              </w:rPr>
            </w:pPr>
            <w:r>
              <w:rPr>
                <w:rFonts w:ascii="方正黑体_GBK" w:eastAsia="方正黑体_GBK" w:cs="Arial" w:hint="eastAsia"/>
                <w:color w:val="000000"/>
                <w:kern w:val="0"/>
                <w:sz w:val="32"/>
                <w:szCs w:val="32"/>
              </w:rPr>
              <w:t>财政拨款收入支出决算总表</w:t>
            </w:r>
          </w:p>
        </w:tc>
      </w:tr>
      <w:tr>
        <w:trPr>
          <w:trHeight w:val="255"/>
          <w:gridAfter w:val="1"/>
          <w:wAfter w:w="984" w:type="dxa"/>
        </w:trPr>
        <w:tc>
          <w:tcPr>
            <w:tcW w:w="3327"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72"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03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178"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72"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20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111" w:type="dxa"/>
            <w:tcBorders>
              <w:top w:val="nil"/>
              <w:left w:val="nil"/>
              <w:bottom w:val="nil"/>
              <w:right w:val="nil"/>
            </w:tcBorders>
            <w:noWrap/>
            <w:vAlign w:val="bottom"/>
          </w:tcPr>
          <w:p>
            <w:pPr>
              <w:widowControl/>
              <w:ind w:right="400" w:firstLineChars="750" w:firstLine="1500"/>
              <w:rPr>
                <w:rFonts w:ascii="宋体" w:cs="Arial"/>
                <w:color w:val="000000"/>
                <w:kern w:val="0"/>
                <w:sz w:val="20"/>
                <w:szCs w:val="20"/>
              </w:rPr>
            </w:pPr>
            <w:r>
              <w:rPr>
                <w:rFonts w:ascii="宋体" w:cs="Arial" w:hint="eastAsia"/>
                <w:color w:val="000000"/>
                <w:kern w:val="0"/>
                <w:sz w:val="20"/>
                <w:szCs w:val="20"/>
              </w:rPr>
              <w:t>公开</w:t>
            </w:r>
            <w:r>
              <w:rPr>
                <w:rFonts w:ascii="宋体" w:cs="Arial"/>
                <w:color w:val="000000"/>
                <w:kern w:val="0"/>
                <w:sz w:val="20"/>
                <w:szCs w:val="20"/>
              </w:rPr>
              <w:t>04</w:t>
            </w:r>
            <w:r>
              <w:rPr>
                <w:rFonts w:ascii="宋体" w:cs="Arial" w:hint="eastAsia"/>
                <w:color w:val="000000"/>
                <w:kern w:val="0"/>
                <w:sz w:val="20"/>
                <w:szCs w:val="20"/>
              </w:rPr>
              <w:t>表</w:t>
            </w:r>
          </w:p>
        </w:tc>
      </w:tr>
      <w:tr>
        <w:trPr>
          <w:trHeight w:val="255"/>
          <w:gridAfter w:val="1"/>
          <w:wAfter w:w="984" w:type="dxa"/>
        </w:trPr>
        <w:tc>
          <w:tcPr>
            <w:tcW w:w="3327" w:type="dxa"/>
            <w:tcBorders>
              <w:top w:val="nil"/>
              <w:left w:val="nil"/>
              <w:bottom w:val="nil"/>
              <w:right w:val="nil"/>
            </w:tcBorders>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部门：济南机场海关</w:t>
            </w:r>
          </w:p>
        </w:tc>
        <w:tc>
          <w:tcPr>
            <w:tcW w:w="472"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03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178"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72"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20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111" w:type="dxa"/>
            <w:tcBorders>
              <w:top w:val="nil"/>
              <w:left w:val="nil"/>
              <w:bottom w:val="nil"/>
              <w:right w:val="nil"/>
            </w:tcBorders>
            <w:noWrap/>
            <w:vAlign w:val="bottom"/>
          </w:tcPr>
          <w:p>
            <w:pPr>
              <w:widowControl/>
              <w:ind w:right="100" w:firstLineChars="550" w:firstLine="1100"/>
              <w:jc w:val="left"/>
              <w:rPr>
                <w:rFonts w:ascii="宋体" w:cs="Arial"/>
                <w:color w:val="000000"/>
                <w:kern w:val="0"/>
                <w:sz w:val="20"/>
                <w:szCs w:val="20"/>
              </w:rPr>
            </w:pPr>
            <w:r>
              <w:rPr>
                <w:rFonts w:ascii="宋体" w:cs="Arial" w:hint="eastAsia"/>
                <w:color w:val="000000"/>
                <w:kern w:val="0"/>
                <w:sz w:val="20"/>
                <w:szCs w:val="20"/>
              </w:rPr>
              <w:t>金额单位：万元</w:t>
            </w:r>
          </w:p>
        </w:tc>
      </w:tr>
      <w:tr>
        <w:trPr>
          <w:trHeight w:val="308"/>
        </w:trPr>
        <w:tc>
          <w:tcPr>
            <w:tcW w:w="14786" w:type="dxa"/>
            <w:gridSpan w:val="8"/>
            <w:tcBorders>
              <w:left w:val="nil"/>
              <w:bottom w:val="nil"/>
              <w:right w:val="nil"/>
            </w:tcBorders>
            <w:noWrap/>
            <w:vAlign w:val="center"/>
          </w:tcPr>
          <w:tbl>
            <w:tblPr>
              <w:jc w:val="left"/>
              <w:tblW w:w="4537" w:type="pct"/>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3696"/>
              <w:gridCol w:w="659"/>
              <w:gridCol w:w="1133"/>
              <w:gridCol w:w="3516"/>
              <w:gridCol w:w="656"/>
              <w:gridCol w:w="1133"/>
              <w:gridCol w:w="2416"/>
            </w:tblGrid>
            <w:tr>
              <w:trPr>
                <w:trHeight w:val="300"/>
              </w:trPr>
              <w:tc>
                <w:tcPr>
                  <w:tcW w:w="2077" w:type="pct"/>
                  <w:gridSpan w:val="3"/>
                  <w:tcBorders>
                    <w:top w:val="single" w:sz="4" w:space="0" w:color="auto"/>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收入</w:t>
                  </w:r>
                </w:p>
              </w:tc>
              <w:tc>
                <w:tcPr>
                  <w:tcW w:w="2923" w:type="pct"/>
                  <w:gridSpan w:val="4"/>
                  <w:tcBorders>
                    <w:top w:val="single" w:sz="4" w:space="0" w:color="auto"/>
                    <w:bottom w:val="single" w:sz="4" w:space="0" w:color="auto"/>
                    <w:right w:val="single" w:sz="4" w:space="0" w:color="auto"/>
                  </w:tcBorders>
                  <w:shd w:val="clear" w:color="auto" w:fill="auto"/>
                </w:tcPr>
                <w:p>
                  <w:pPr>
                    <w:widowControl/>
                    <w:jc w:val="left"/>
                    <w:rPr>
                      <w:rFonts w:eastAsia="Times New Roman"/>
                      <w:kern w:val="0"/>
                      <w:sz w:val="20"/>
                      <w:szCs w:val="20"/>
                    </w:rPr>
                  </w:pP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项目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行次</w:t>
                  </w:r>
                </w:p>
              </w:tc>
              <w:tc>
                <w:tcPr>
                  <w:tcW w:w="429"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金额</w:t>
                  </w:r>
                </w:p>
              </w:tc>
              <w:tc>
                <w:tcPr>
                  <w:tcW w:w="1331"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项目</w:t>
                  </w:r>
                </w:p>
              </w:tc>
              <w:tc>
                <w:tcPr>
                  <w:tcW w:w="248"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行次</w:t>
                  </w:r>
                </w:p>
              </w:tc>
              <w:tc>
                <w:tcPr>
                  <w:tcW w:w="429"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合计</w:t>
                  </w:r>
                </w:p>
              </w:tc>
              <w:tc>
                <w:tcPr>
                  <w:tcW w:w="915"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一般公共预算财政拨款</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栏次</w:t>
                  </w:r>
                </w:p>
              </w:tc>
              <w:tc>
                <w:tcPr>
                  <w:tcW w:w="55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42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1</w:t>
                  </w:r>
                </w:p>
              </w:tc>
              <w:tc>
                <w:tcPr>
                  <w:tcW w:w="1331"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栏次</w:t>
                  </w:r>
                </w:p>
              </w:tc>
              <w:tc>
                <w:tcPr>
                  <w:tcW w:w="248"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42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w:t>
                  </w:r>
                </w:p>
              </w:tc>
              <w:tc>
                <w:tcPr>
                  <w:tcW w:w="915"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一、一般公共预算财政拨款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1</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1,506.41 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一、一般公共服务支出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33</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1,248.81 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1,248.81 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二、政府性基金预算财政拨款</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二、外交支出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34</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三、国有资本经营预算财政拨款</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三、国防支出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35</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4</w:t>
                  </w:r>
                </w:p>
              </w:tc>
              <w:tc>
                <w:tcPr>
                  <w:tcW w:w="429"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四、公共安全支出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36</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49.96 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5</w:t>
                  </w:r>
                </w:p>
              </w:tc>
              <w:tc>
                <w:tcPr>
                  <w:tcW w:w="429"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五、教育支出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37</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w:t>
                  </w:r>
                </w:p>
              </w:tc>
              <w:tc>
                <w:tcPr>
                  <w:tcW w:w="429"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六、科学技术支出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38</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7</w:t>
                  </w:r>
                </w:p>
              </w:tc>
              <w:tc>
                <w:tcPr>
                  <w:tcW w:w="429"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七、文化旅游体育与传媒支出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39</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8</w:t>
                  </w:r>
                </w:p>
              </w:tc>
              <w:tc>
                <w:tcPr>
                  <w:tcW w:w="429"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八、社会保障和就业支出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40</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127.50 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127.50 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9</w:t>
                  </w:r>
                </w:p>
              </w:tc>
              <w:tc>
                <w:tcPr>
                  <w:tcW w:w="429"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九、卫生健康支出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41</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64.32 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64.32 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10</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十、节能环保支出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42</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11</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十一、城乡社区支出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43</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12</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十二、农林水支出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44</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13</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十三、交通运输支出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45</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14</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十四、资源勘探工业信息等支出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46</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15</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十五、商业服务业等支出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47</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16</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十六、金融支出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48</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17</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十七、援助其他地区支出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49</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18</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十八、自然资源海洋气象等支出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50</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19</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十九、住房保障支出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51</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219.02 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219.02 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20</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二十、粮油物资储备支出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52</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21</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二十一、国有资本经营预算支出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53</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22</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二十二、灾害防治及应急管理支出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54</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23</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二十三、其他支出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55</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24</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二十四、债务还本支出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56</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25</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二十五、债务付息支出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57</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26</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二十六、抗疫特别国债安排的支出</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58</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本年收入合计</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27</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1,506.41 </w:t>
                  </w:r>
                </w:p>
              </w:tc>
              <w:tc>
                <w:tcPr>
                  <w:tcW w:w="1331"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本年支出合计</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59</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1,709.61 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1,709.61 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年初财政拨款结转和结余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28</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203.20 </w:t>
                  </w:r>
                </w:p>
              </w:tc>
              <w:tc>
                <w:tcPr>
                  <w:tcW w:w="1331" w:type="pct"/>
                  <w:tcBorders>
                    <w:bottom w:val="single" w:sz="6" w:space="0" w:color="000000"/>
                    <w:right w:val="single" w:sz="6" w:space="0" w:color="000000"/>
                  </w:tcBorders>
                  <w:shd w:val="clear" w:color="auto" w:fill="auto"/>
                  <w:noWrap/>
                  <w:vAlign w:val="center"/>
                </w:tcPr>
                <w:p>
                  <w:pPr>
                    <w:widowControl/>
                    <w:jc w:val="left"/>
                    <w:rPr>
                      <w:rFonts w:ascii="Calibri" w:cs="宋体" w:hAnsi="Calibri"/>
                      <w:color w:val="000000"/>
                      <w:kern w:val="0"/>
                      <w:sz w:val="22"/>
                      <w:szCs w:val="22"/>
                    </w:rPr>
                  </w:pPr>
                  <w:r>
                    <w:rPr>
                      <w:rFonts w:ascii="宋体" w:cs="宋体"/>
                      <w:color w:val="000000"/>
                      <w:kern w:val="0"/>
                      <w:sz w:val="22"/>
                      <w:szCs w:val="22"/>
                    </w:rPr>
                    <w:t>年末财政拨款结转和结余 </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60</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一般公共预算财政拨款</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29</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203.20 </w:t>
                  </w:r>
                </w:p>
              </w:tc>
              <w:tc>
                <w:tcPr>
                  <w:tcW w:w="1331"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61</w:t>
                  </w:r>
                </w:p>
              </w:tc>
              <w:tc>
                <w:tcPr>
                  <w:tcW w:w="429"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c>
                <w:tcPr>
                  <w:tcW w:w="915"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政府性基金预算财政拨款</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30</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2"/>
                      <w:szCs w:val="22"/>
                    </w:rPr>
                  </w:pPr>
                  <w:r>
                    <w:rPr>
                      <w:rFonts w:ascii="宋体" w:cs="宋体" w:hint="eastAsia"/>
                      <w:color w:val="000000"/>
                      <w:kern w:val="0"/>
                      <w:sz w:val="22"/>
                      <w:szCs w:val="22"/>
                    </w:rPr>
                    <w:t>　</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62</w:t>
                  </w:r>
                </w:p>
              </w:tc>
              <w:tc>
                <w:tcPr>
                  <w:tcW w:w="429"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c>
                <w:tcPr>
                  <w:tcW w:w="915" w:type="pct"/>
                  <w:tcBorders>
                    <w:bottom w:val="single" w:sz="6" w:space="0" w:color="000000"/>
                    <w:right w:val="single" w:sz="6" w:space="0" w:color="000000"/>
                  </w:tcBorders>
                  <w:shd w:val="clear" w:color="auto" w:fill="auto"/>
                  <w:noWrap/>
                  <w:vAlign w:val="center"/>
                </w:tcPr>
                <w:p>
                  <w:pPr>
                    <w:widowControl/>
                    <w:jc w:val="left"/>
                    <w:rPr>
                      <w:rFonts w:ascii="Arial" w:cs="Arial" w:hAnsi="Arial"/>
                      <w:color w:val="000000"/>
                      <w:kern w:val="0"/>
                      <w:sz w:val="22"/>
                      <w:szCs w:val="22"/>
                    </w:rPr>
                  </w:pPr>
                  <w:r>
                    <w:rPr>
                      <w:rFonts w:ascii="Arial" w:cs="Arial" w:hAnsi="Arial"/>
                      <w:color w:val="000000"/>
                      <w:kern w:val="0"/>
                      <w:sz w:val="22"/>
                      <w:szCs w:val="22"/>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国有资本经营预算财政拨款</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31</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4"/>
                    </w:rPr>
                  </w:pPr>
                  <w:r>
                    <w:rPr>
                      <w:rFonts w:ascii="Arial" w:cs="Arial" w:hAnsi="Arial"/>
                      <w:color w:val="000000"/>
                      <w:kern w:val="0"/>
                      <w:sz w:val="24"/>
                    </w:rPr>
                    <w:t>　</w:t>
                  </w:r>
                </w:p>
              </w:tc>
              <w:tc>
                <w:tcPr>
                  <w:tcW w:w="1331"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4"/>
                    </w:rPr>
                  </w:pPr>
                  <w:r>
                    <w:rPr>
                      <w:rFonts w:ascii="宋体" w:cs="宋体" w:hint="eastAsia"/>
                      <w:color w:val="000000"/>
                      <w:kern w:val="0"/>
                      <w:sz w:val="24"/>
                    </w:rPr>
                    <w:t>63</w:t>
                  </w:r>
                </w:p>
              </w:tc>
              <w:tc>
                <w:tcPr>
                  <w:tcW w:w="429"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c>
                <w:tcPr>
                  <w:tcW w:w="915" w:type="pct"/>
                  <w:tcBorders>
                    <w:bottom w:val="single" w:sz="6" w:space="0" w:color="000000"/>
                    <w:right w:val="single" w:sz="6" w:space="0" w:color="000000"/>
                  </w:tcBorders>
                  <w:shd w:val="clear" w:color="auto" w:fill="auto"/>
                  <w:noWrap/>
                  <w:vAlign w:val="center"/>
                </w:tcPr>
                <w:p>
                  <w:pPr>
                    <w:widowControl/>
                    <w:jc w:val="left"/>
                    <w:rPr>
                      <w:rFonts w:ascii="宋体" w:cs="宋体"/>
                      <w:color w:val="000000"/>
                      <w:kern w:val="0"/>
                      <w:sz w:val="24"/>
                    </w:rPr>
                  </w:pPr>
                  <w:r>
                    <w:rPr>
                      <w:rFonts w:ascii="宋体" w:cs="宋体" w:hint="eastAsia"/>
                      <w:color w:val="000000"/>
                      <w:kern w:val="0"/>
                      <w:sz w:val="24"/>
                    </w:rPr>
                    <w:t>　</w:t>
                  </w:r>
                </w:p>
              </w:tc>
            </w:tr>
            <w:tr>
              <w:trPr>
                <w:trHeight w:val="300"/>
              </w:trPr>
              <w:tc>
                <w:tcPr>
                  <w:tcW w:w="1089" w:type="pct"/>
                  <w:tcBorders>
                    <w:left w:val="single" w:sz="6" w:space="0" w:color="000000"/>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总计 </w:t>
                  </w:r>
                </w:p>
              </w:tc>
              <w:tc>
                <w:tcPr>
                  <w:tcW w:w="559"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32</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1,709.61 </w:t>
                  </w:r>
                </w:p>
              </w:tc>
              <w:tc>
                <w:tcPr>
                  <w:tcW w:w="1331" w:type="pct"/>
                  <w:tcBorders>
                    <w:bottom w:val="single" w:sz="6" w:space="0" w:color="000000"/>
                    <w:right w:val="single" w:sz="6" w:space="0" w:color="000000"/>
                  </w:tcBorders>
                  <w:shd w:val="clear" w:color="auto" w:fill="auto"/>
                  <w:noWrap/>
                  <w:vAlign w:val="center"/>
                </w:tcPr>
                <w:p>
                  <w:pPr>
                    <w:widowControl/>
                    <w:jc w:val="center"/>
                    <w:rPr>
                      <w:rFonts w:ascii="Calibri" w:cs="宋体" w:hAnsi="Calibri"/>
                      <w:color w:val="000000"/>
                      <w:kern w:val="0"/>
                      <w:sz w:val="22"/>
                      <w:szCs w:val="22"/>
                    </w:rPr>
                  </w:pPr>
                  <w:r>
                    <w:rPr>
                      <w:rFonts w:ascii="宋体" w:cs="宋体"/>
                      <w:color w:val="000000"/>
                      <w:kern w:val="0"/>
                      <w:sz w:val="22"/>
                      <w:szCs w:val="22"/>
                    </w:rPr>
                    <w:t>总计 </w:t>
                  </w:r>
                </w:p>
              </w:tc>
              <w:tc>
                <w:tcPr>
                  <w:tcW w:w="248" w:type="pct"/>
                  <w:tcBorders>
                    <w:bottom w:val="single" w:sz="6" w:space="0" w:color="000000"/>
                    <w:right w:val="single" w:sz="6" w:space="0" w:color="000000"/>
                  </w:tcBorders>
                  <w:shd w:val="clear" w:color="auto" w:fill="auto"/>
                  <w:noWrap/>
                  <w:vAlign w:val="center"/>
                </w:tcPr>
                <w:p>
                  <w:pPr>
                    <w:widowControl/>
                    <w:jc w:val="center"/>
                    <w:rPr>
                      <w:rFonts w:ascii="宋体" w:cs="宋体"/>
                      <w:color w:val="000000"/>
                      <w:kern w:val="0"/>
                      <w:sz w:val="22"/>
                      <w:szCs w:val="22"/>
                    </w:rPr>
                  </w:pPr>
                  <w:r>
                    <w:rPr>
                      <w:rFonts w:ascii="宋体" w:cs="宋体" w:hint="eastAsia"/>
                      <w:color w:val="000000"/>
                      <w:kern w:val="0"/>
                      <w:sz w:val="22"/>
                      <w:szCs w:val="22"/>
                    </w:rPr>
                    <w:t>64</w:t>
                  </w:r>
                </w:p>
              </w:tc>
              <w:tc>
                <w:tcPr>
                  <w:tcW w:w="429"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1,709.61 </w:t>
                  </w:r>
                </w:p>
              </w:tc>
              <w:tc>
                <w:tcPr>
                  <w:tcW w:w="915" w:type="pct"/>
                  <w:tcBorders>
                    <w:bottom w:val="single" w:sz="6" w:space="0" w:color="000000"/>
                    <w:right w:val="single" w:sz="6" w:space="0" w:color="000000"/>
                  </w:tcBorders>
                  <w:shd w:val="clear" w:color="auto" w:fill="auto"/>
                  <w:noWrap/>
                  <w:vAlign w:val="center"/>
                </w:tcPr>
                <w:p>
                  <w:pPr>
                    <w:widowControl/>
                    <w:jc w:val="right"/>
                    <w:rPr>
                      <w:rFonts w:ascii="Arial" w:cs="Arial" w:hAnsi="Arial"/>
                      <w:color w:val="000000"/>
                      <w:kern w:val="0"/>
                      <w:sz w:val="22"/>
                      <w:szCs w:val="22"/>
                    </w:rPr>
                  </w:pPr>
                  <w:r>
                    <w:rPr>
                      <w:rFonts w:ascii="Arial" w:cs="Arial" w:hAnsi="Arial"/>
                      <w:color w:val="000000"/>
                      <w:kern w:val="0"/>
                      <w:sz w:val="22"/>
                      <w:szCs w:val="22"/>
                    </w:rPr>
                    <w:t>1,709.61 </w:t>
                  </w:r>
                </w:p>
              </w:tc>
            </w:tr>
          </w:tbl>
          <w:p>
            <w:pPr>
              <w:widowControl/>
              <w:jc w:val="left"/>
              <w:rPr>
                <w:rFonts w:ascii="宋体" w:cs="Arial"/>
                <w:color w:val="000000"/>
                <w:kern w:val="0"/>
                <w:sz w:val="22"/>
                <w:szCs w:val="22"/>
              </w:rPr>
            </w:pPr>
            <w:r>
              <w:rPr>
                <w:rFonts w:ascii="宋体" w:cs="Arial" w:hint="eastAsia"/>
                <w:color w:val="000000"/>
                <w:kern w:val="0"/>
                <w:sz w:val="22"/>
                <w:szCs w:val="22"/>
              </w:rPr>
              <w:t>注：本表反映部门本年度一般公共预算财政拨款、政府性基金预算财政拨款和国有资本经营预算财政拨款的总收支和年末结转结余情况。</w:t>
            </w:r>
          </w:p>
        </w:tc>
      </w:tr>
    </w:tbl>
    <w:p/>
    <w:p/>
    <w:p/>
    <w:p/>
    <w:p/>
    <w:p/>
    <w:p/>
    <w:p/>
    <w:p/>
    <w:p/>
    <w:p/>
    <w:p/>
    <w:p/>
    <w:p/>
    <w:p/>
    <w:p/>
    <w:p/>
    <w:tbl>
      <w:tblPr>
        <w:jc w:val="left"/>
        <w:tblInd w:w="93" w:type="dxa"/>
        <w:tblW w:w="1404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01"/>
        <w:gridCol w:w="313"/>
        <w:gridCol w:w="272"/>
        <w:gridCol w:w="431"/>
        <w:gridCol w:w="5402"/>
        <w:gridCol w:w="1221"/>
        <w:gridCol w:w="1047"/>
        <w:gridCol w:w="1095"/>
        <w:gridCol w:w="606"/>
        <w:gridCol w:w="1701"/>
        <w:gridCol w:w="1560"/>
      </w:tblGrid>
      <w:tr>
        <w:trPr>
          <w:trHeight w:val="390"/>
        </w:trPr>
        <w:tc>
          <w:tcPr>
            <w:tcW w:w="14049" w:type="dxa"/>
            <w:gridSpan w:val="11"/>
            <w:tcBorders>
              <w:top w:val="nil"/>
              <w:left w:val="nil"/>
              <w:bottom w:val="nil"/>
              <w:right w:val="nil"/>
            </w:tcBorders>
            <w:noWrap/>
            <w:vAlign w:val="bottom"/>
          </w:tcPr>
          <w:p>
            <w:pPr>
              <w:widowControl/>
              <w:jc w:val="center"/>
              <w:rPr>
                <w:rFonts w:ascii="宋体" w:cs="Arial"/>
                <w:color w:val="000000"/>
                <w:kern w:val="0"/>
                <w:sz w:val="30"/>
                <w:szCs w:val="30"/>
              </w:rPr>
            </w:pPr>
            <w:r>
              <w:rPr>
                <w:rFonts w:ascii="方正黑体_GBK" w:eastAsia="方正黑体_GBK" w:cs="Arial" w:hint="eastAsia"/>
                <w:color w:val="000000"/>
                <w:kern w:val="0"/>
                <w:sz w:val="32"/>
                <w:szCs w:val="32"/>
              </w:rPr>
              <w:t>一般公共预算财政拨款支出决算表</w:t>
            </w:r>
          </w:p>
        </w:tc>
      </w:tr>
      <w:tr>
        <w:trPr>
          <w:trHeight w:val="255"/>
        </w:trPr>
        <w:tc>
          <w:tcPr>
            <w:tcW w:w="401"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13"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72"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5833"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221"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142"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867" w:type="dxa"/>
            <w:gridSpan w:val="3"/>
            <w:tcBorders>
              <w:top w:val="nil"/>
              <w:left w:val="nil"/>
              <w:bottom w:val="nil"/>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w:t>
            </w:r>
            <w:r>
              <w:rPr>
                <w:rFonts w:ascii="宋体" w:cs="Arial"/>
                <w:color w:val="000000"/>
                <w:kern w:val="0"/>
                <w:sz w:val="20"/>
                <w:szCs w:val="20"/>
              </w:rPr>
              <w:t>05</w:t>
            </w:r>
            <w:r>
              <w:rPr>
                <w:rFonts w:ascii="宋体" w:cs="Arial" w:hint="eastAsia"/>
                <w:color w:val="000000"/>
                <w:kern w:val="0"/>
                <w:sz w:val="20"/>
                <w:szCs w:val="20"/>
              </w:rPr>
              <w:t>表</w:t>
            </w:r>
          </w:p>
        </w:tc>
      </w:tr>
      <w:tr>
        <w:trPr>
          <w:trHeight w:val="255"/>
        </w:trPr>
        <w:tc>
          <w:tcPr>
            <w:tcW w:w="6819" w:type="dxa"/>
            <w:gridSpan w:val="5"/>
            <w:tcBorders>
              <w:top w:val="nil"/>
              <w:left w:val="nil"/>
              <w:bottom w:val="nil"/>
              <w:right w:val="nil"/>
            </w:tcBorders>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部门：济南机场海关</w:t>
            </w:r>
          </w:p>
        </w:tc>
        <w:tc>
          <w:tcPr>
            <w:tcW w:w="1221"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142"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867" w:type="dxa"/>
            <w:gridSpan w:val="3"/>
            <w:tcBorders>
              <w:top w:val="nil"/>
              <w:left w:val="nil"/>
              <w:bottom w:val="nil"/>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00"/>
        </w:trPr>
        <w:tc>
          <w:tcPr>
            <w:tcW w:w="9087" w:type="dxa"/>
            <w:gridSpan w:val="7"/>
            <w:tcBorders>
              <w:top w:val="single" w:sz="6" w:space="0" w:color="000000"/>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项目</w:t>
            </w:r>
          </w:p>
        </w:tc>
        <w:tc>
          <w:tcPr>
            <w:tcW w:w="4962" w:type="dxa"/>
            <w:gridSpan w:val="4"/>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本年支出</w:t>
            </w:r>
          </w:p>
        </w:tc>
      </w:tr>
      <w:tr>
        <w:trPr>
          <w:trHeight w:val="312"/>
        </w:trPr>
        <w:tc>
          <w:tcPr>
            <w:tcW w:w="1417" w:type="dxa"/>
            <w:gridSpan w:val="4"/>
            <w:vMerge w:val="restart"/>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科目代码</w:t>
            </w:r>
          </w:p>
        </w:tc>
        <w:tc>
          <w:tcPr>
            <w:tcW w:w="7670" w:type="dxa"/>
            <w:gridSpan w:val="3"/>
            <w:vMerge w:val="restart"/>
            <w:tcBorders>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科目名称</w:t>
            </w:r>
          </w:p>
        </w:tc>
        <w:tc>
          <w:tcPr>
            <w:tcW w:w="1701" w:type="dxa"/>
            <w:gridSpan w:val="2"/>
            <w:vMerge w:val="restart"/>
            <w:tcBorders>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小计</w:t>
            </w:r>
          </w:p>
        </w:tc>
        <w:tc>
          <w:tcPr>
            <w:tcW w:w="1701" w:type="dxa"/>
            <w:vMerge w:val="restart"/>
            <w:tcBorders>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基本支出</w:t>
            </w:r>
          </w:p>
        </w:tc>
        <w:tc>
          <w:tcPr>
            <w:tcW w:w="1560" w:type="dxa"/>
            <w:vMerge w:val="restart"/>
            <w:tcBorders>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项目支出</w:t>
            </w:r>
          </w:p>
        </w:tc>
      </w:tr>
      <w:tr>
        <w:trPr>
          <w:trHeight w:val="312"/>
        </w:trPr>
        <w:tc>
          <w:tcPr>
            <w:tcW w:w="1417" w:type="dxa"/>
            <w:gridSpan w:val="4"/>
            <w:vMerge/>
            <w:tcBorders>
              <w:left w:val="single" w:sz="6" w:space="0" w:color="000000"/>
              <w:bottom w:val="single" w:sz="6" w:space="0" w:color="000000"/>
              <w:right w:val="single" w:sz="6" w:space="0" w:color="000000"/>
            </w:tcBorders>
            <w:noWrap/>
            <w:tcMar>
              <w:top w:w="15" w:type="dxa"/>
              <w:bottom w:w="15" w:type="dxa"/>
            </w:tcMar>
            <w:vAlign w:val="center"/>
          </w:tcPr>
          <w:p/>
        </w:tc>
        <w:tc>
          <w:tcPr>
            <w:tcW w:w="7670" w:type="dxa"/>
            <w:gridSpan w:val="3"/>
            <w:vMerge/>
            <w:tcBorders>
              <w:bottom w:val="single" w:sz="6" w:space="0" w:color="000000"/>
              <w:right w:val="single" w:sz="6" w:space="0" w:color="000000"/>
            </w:tcBorders>
            <w:noWrap/>
            <w:tcMar>
              <w:top w:w="15" w:type="dxa"/>
              <w:bottom w:w="15" w:type="dxa"/>
            </w:tcMar>
            <w:vAlign w:val="center"/>
          </w:tcPr>
          <w:p/>
        </w:tc>
        <w:tc>
          <w:tcPr>
            <w:tcW w:w="1701" w:type="dxa"/>
            <w:gridSpan w:val="2"/>
            <w:vMerge/>
            <w:tcBorders>
              <w:bottom w:val="single" w:sz="6" w:space="0" w:color="000000"/>
              <w:right w:val="single" w:sz="6" w:space="0" w:color="000000"/>
            </w:tcBorders>
            <w:noWrap/>
            <w:tcMar>
              <w:top w:w="15" w:type="dxa"/>
              <w:bottom w:w="15" w:type="dxa"/>
            </w:tcMar>
            <w:vAlign w:val="center"/>
          </w:tcPr>
          <w:p/>
        </w:tc>
        <w:tc>
          <w:tcPr>
            <w:tcW w:w="1701" w:type="dxa"/>
            <w:vMerge/>
            <w:tcBorders>
              <w:bottom w:val="single" w:sz="6" w:space="0" w:color="000000"/>
              <w:right w:val="single" w:sz="6" w:space="0" w:color="000000"/>
            </w:tcBorders>
            <w:noWrap/>
            <w:tcMar>
              <w:top w:w="15" w:type="dxa"/>
              <w:bottom w:w="15" w:type="dxa"/>
            </w:tcMar>
            <w:vAlign w:val="center"/>
          </w:tcPr>
          <w:p/>
        </w:tc>
        <w:tc>
          <w:tcPr>
            <w:tcW w:w="1560" w:type="dxa"/>
            <w:vMerge/>
            <w:tcBorders>
              <w:bottom w:val="single" w:sz="6" w:space="0" w:color="000000"/>
              <w:right w:val="single" w:sz="6" w:space="0" w:color="000000"/>
            </w:tcBorders>
            <w:noWrap/>
            <w:tcMar>
              <w:top w:w="15" w:type="dxa"/>
              <w:bottom w:w="15" w:type="dxa"/>
            </w:tcMar>
            <w:vAlign w:val="center"/>
          </w:tcPr>
          <w:p/>
        </w:tc>
      </w:tr>
      <w:tr>
        <w:trPr>
          <w:trHeight w:val="300"/>
        </w:trPr>
        <w:tc>
          <w:tcPr>
            <w:tcW w:w="9087" w:type="dxa"/>
            <w:gridSpan w:val="7"/>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栏次</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2"/>
                <w:szCs w:val="22"/>
              </w:rPr>
            </w:pPr>
            <w:r>
              <w:rPr>
                <w:rFonts w:hint="eastAsia"/>
                <w:color w:val="000000"/>
                <w:sz w:val="22"/>
                <w:szCs w:val="22"/>
              </w:rPr>
              <w:t>1</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2"/>
                <w:szCs w:val="22"/>
              </w:rPr>
            </w:pPr>
            <w:r>
              <w:rPr>
                <w:rFonts w:hint="eastAsia"/>
                <w:color w:val="000000"/>
                <w:sz w:val="22"/>
                <w:szCs w:val="22"/>
              </w:rPr>
              <w:t>2</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center"/>
              <w:rPr>
                <w:rFonts w:ascii="宋体" w:cs="宋体"/>
                <w:color w:val="000000"/>
                <w:sz w:val="22"/>
                <w:szCs w:val="22"/>
              </w:rPr>
            </w:pPr>
            <w:r>
              <w:rPr>
                <w:rFonts w:hint="eastAsia"/>
                <w:color w:val="000000"/>
                <w:sz w:val="22"/>
                <w:szCs w:val="22"/>
              </w:rPr>
              <w:t>3</w:t>
            </w:r>
          </w:p>
        </w:tc>
      </w:tr>
      <w:tr>
        <w:trPr>
          <w:trHeight w:val="300"/>
        </w:trPr>
        <w:tc>
          <w:tcPr>
            <w:tcW w:w="9087" w:type="dxa"/>
            <w:gridSpan w:val="7"/>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合计</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1,709.61 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1,412.81 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296.80 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一般公共服务支出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1,248.81 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952.01 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296.80 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海关事务</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1,248.81 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952.01 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296.80 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2010901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行政运行</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952.01 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952.01 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2010902</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一般行政管理事务</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12.50 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12.50 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2010905</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缉私办案</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15.70 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15.70 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2010909</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海关关务</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25.56 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25.56 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2010911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海关监管</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18.84 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18.84 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2010912</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检验检疫</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224.20 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224.20 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204</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公共安全支出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20410</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缉私警察</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2041001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行政运行</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49.96 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社会保障和就业支出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127.50 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127.50 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20805</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行政事业单位养老支出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127.50 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127.50 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2080501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行政单位离退休</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0.87 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0.87 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2080505</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机关事业单位基本养老保险缴费支出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84.42 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84.42 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2080506</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机关事业单位职业年金缴费支出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42.21 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42.21 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210</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卫生健康支出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64.32 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64.32 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21011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行政事业单位医疗</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64.32 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64.32 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2101101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行政单位医疗</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64.32 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64.32 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221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住房保障支出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219.02 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219.02 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22102</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住房改革支出</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219.02 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219.02 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2210201</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住房公积金</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140.85 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140.85 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trPr>
        <w:tc>
          <w:tcPr>
            <w:tcW w:w="1417" w:type="dxa"/>
            <w:gridSpan w:val="4"/>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2210203</w:t>
            </w:r>
          </w:p>
        </w:tc>
        <w:tc>
          <w:tcPr>
            <w:tcW w:w="7670" w:type="dxa"/>
            <w:gridSpan w:val="3"/>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购房补贴</w:t>
            </w:r>
          </w:p>
        </w:tc>
        <w:tc>
          <w:tcPr>
            <w:tcW w:w="1701"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78.17 </w:t>
            </w:r>
          </w:p>
        </w:tc>
        <w:tc>
          <w:tcPr>
            <w:tcW w:w="170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78.17 </w:t>
            </w:r>
          </w:p>
        </w:tc>
        <w:tc>
          <w:tcPr>
            <w:tcW w:w="1560"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8"/>
        </w:trPr>
        <w:tc>
          <w:tcPr>
            <w:tcW w:w="14049" w:type="dxa"/>
            <w:gridSpan w:val="11"/>
            <w:tcBorders>
              <w:top w:val="nil"/>
              <w:left w:val="nil"/>
              <w:bottom w:val="nil"/>
              <w:right w:val="nil"/>
            </w:tcBorders>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注：本表反映部门本年度一般公共预算财政拨款支出情况。</w:t>
            </w:r>
          </w:p>
        </w:tc>
      </w:tr>
    </w:tbl>
    <w:p>
      <w:pPr>
        <w:sectPr>
          <w:pgSz w:w="16840" w:h="11907" w:orient="landscape"/>
          <w:pgMar w:top="1134" w:right="1440" w:bottom="1134" w:left="1440" w:header="851" w:footer="992" w:gutter="0"/>
          <w:docGrid w:type="linesAndChars" w:linePitch="312" w:charSpace="0"/>
        </w:sectPr>
      </w:pPr>
    </w:p>
    <w:tbl>
      <w:tblPr>
        <w:jc w:val="left"/>
        <w:tblInd w:w="-910" w:type="dxa"/>
        <w:tblW w:w="1649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6"/>
        <w:gridCol w:w="964"/>
        <w:gridCol w:w="2366"/>
        <w:gridCol w:w="931"/>
        <w:gridCol w:w="300"/>
        <w:gridCol w:w="834"/>
        <w:gridCol w:w="965"/>
        <w:gridCol w:w="1265"/>
        <w:gridCol w:w="866"/>
        <w:gridCol w:w="230"/>
        <w:gridCol w:w="766"/>
        <w:gridCol w:w="965"/>
        <w:gridCol w:w="3245"/>
        <w:gridCol w:w="221"/>
        <w:gridCol w:w="951"/>
        <w:gridCol w:w="398"/>
        <w:gridCol w:w="466"/>
      </w:tblGrid>
      <w:tr>
        <w:trPr>
          <w:trHeight w:val="390"/>
        </w:trPr>
        <w:tc>
          <w:tcPr>
            <w:tcW w:w="16499" w:type="dxa"/>
            <w:gridSpan w:val="17"/>
            <w:tcBorders>
              <w:top w:val="nil"/>
              <w:left w:val="nil"/>
              <w:bottom w:val="nil"/>
              <w:right w:val="nil"/>
            </w:tcBorders>
            <w:noWrap/>
            <w:vAlign w:val="bottom"/>
          </w:tcPr>
          <w:p>
            <w:pPr>
              <w:widowControl/>
              <w:jc w:val="center"/>
              <w:rPr>
                <w:rFonts w:ascii="方正黑体_GBK" w:eastAsia="方正黑体_GBK" w:cs="Arial"/>
                <w:color w:val="000000"/>
                <w:kern w:val="0"/>
                <w:sz w:val="32"/>
                <w:szCs w:val="32"/>
              </w:rPr>
            </w:pPr>
            <w:r>
              <w:rPr>
                <w:rFonts w:ascii="方正黑体_GBK" w:eastAsia="方正黑体_GBK" w:cs="Arial" w:hint="eastAsia"/>
                <w:color w:val="000000"/>
                <w:kern w:val="0"/>
                <w:sz w:val="32"/>
                <w:szCs w:val="32"/>
              </w:rPr>
              <w:t>一般公共预算财政拨款基本支出决算明细表</w:t>
            </w:r>
          </w:p>
        </w:tc>
      </w:tr>
      <w:tr>
        <w:trPr>
          <w:trHeight w:val="255"/>
        </w:trPr>
        <w:tc>
          <w:tcPr>
            <w:tcW w:w="76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3330"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23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834"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230"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096"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76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4210"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036" w:type="dxa"/>
            <w:gridSpan w:val="4"/>
            <w:tcBorders>
              <w:top w:val="nil"/>
              <w:left w:val="nil"/>
              <w:bottom w:val="nil"/>
              <w:right w:val="nil"/>
            </w:tcBorders>
            <w:noWrap/>
            <w:vAlign w:val="bottom"/>
          </w:tcPr>
          <w:p>
            <w:pPr>
              <w:widowControl/>
              <w:ind w:right="400"/>
              <w:rPr>
                <w:rFonts w:ascii="宋体" w:cs="Arial"/>
                <w:color w:val="000000"/>
                <w:kern w:val="0"/>
                <w:sz w:val="20"/>
                <w:szCs w:val="20"/>
              </w:rPr>
            </w:pPr>
            <w:r>
              <w:rPr>
                <w:rFonts w:ascii="宋体" w:cs="Arial" w:hint="eastAsia"/>
                <w:color w:val="000000"/>
                <w:kern w:val="0"/>
                <w:sz w:val="20"/>
                <w:szCs w:val="20"/>
              </w:rPr>
              <w:t>公开</w:t>
            </w:r>
            <w:r>
              <w:rPr>
                <w:rFonts w:ascii="宋体" w:cs="Arial"/>
                <w:color w:val="000000"/>
                <w:kern w:val="0"/>
                <w:sz w:val="20"/>
                <w:szCs w:val="20"/>
              </w:rPr>
              <w:t>06</w:t>
            </w:r>
            <w:r>
              <w:rPr>
                <w:rFonts w:ascii="宋体" w:cs="Arial" w:hint="eastAsia"/>
                <w:color w:val="000000"/>
                <w:kern w:val="0"/>
                <w:sz w:val="20"/>
                <w:szCs w:val="20"/>
              </w:rPr>
              <w:t>表</w:t>
            </w:r>
          </w:p>
        </w:tc>
      </w:tr>
      <w:tr>
        <w:trPr>
          <w:trHeight w:val="255"/>
        </w:trPr>
        <w:tc>
          <w:tcPr>
            <w:tcW w:w="4096" w:type="dxa"/>
            <w:gridSpan w:val="3"/>
            <w:tcBorders>
              <w:top w:val="nil"/>
              <w:left w:val="nil"/>
              <w:bottom w:val="nil"/>
              <w:right w:val="nil"/>
            </w:tcBorders>
            <w:noWrap/>
            <w:vAlign w:val="bottom"/>
          </w:tcPr>
          <w:p>
            <w:pPr>
              <w:widowControl/>
              <w:ind w:firstLineChars="350" w:firstLine="700"/>
              <w:jc w:val="left"/>
              <w:rPr>
                <w:rFonts w:ascii="宋体" w:cs="Arial"/>
                <w:color w:val="000000"/>
                <w:kern w:val="0"/>
                <w:sz w:val="20"/>
                <w:szCs w:val="20"/>
              </w:rPr>
            </w:pPr>
            <w:r>
              <w:rPr>
                <w:rFonts w:ascii="宋体" w:cs="Arial" w:hint="eastAsia"/>
                <w:color w:val="000000"/>
                <w:kern w:val="0"/>
                <w:sz w:val="20"/>
                <w:szCs w:val="20"/>
              </w:rPr>
              <w:t>部门：济南机场海关</w:t>
            </w:r>
          </w:p>
        </w:tc>
        <w:tc>
          <w:tcPr>
            <w:tcW w:w="123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834"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230"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096"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766"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6246" w:type="dxa"/>
            <w:gridSpan w:val="6"/>
            <w:tcBorders>
              <w:top w:val="nil"/>
              <w:left w:val="nil"/>
              <w:bottom w:val="nil"/>
              <w:right w:val="nil"/>
            </w:tcBorders>
            <w:noWrap/>
            <w:vAlign w:val="bottom"/>
          </w:tcPr>
          <w:p>
            <w:pPr>
              <w:widowControl/>
              <w:ind w:right="400" w:firstLineChars="1900" w:firstLine="3800"/>
              <w:rPr>
                <w:rFonts w:ascii="宋体" w:cs="Arial"/>
                <w:color w:val="000000"/>
                <w:kern w:val="0"/>
                <w:sz w:val="20"/>
                <w:szCs w:val="20"/>
              </w:rPr>
            </w:pPr>
            <w:r>
              <w:rPr>
                <w:rFonts w:ascii="宋体" w:cs="Arial" w:hint="eastAsia"/>
                <w:color w:val="000000"/>
                <w:kern w:val="0"/>
                <w:sz w:val="20"/>
                <w:szCs w:val="20"/>
              </w:rPr>
              <w:t>金额单位：万元</w:t>
            </w:r>
          </w:p>
        </w:tc>
      </w:tr>
      <w:tr>
        <w:trPr>
          <w:trHeight w:val="300"/>
          <w:gridBefore w:val="1"/>
          <w:wBefore w:w="766" w:type="dxa"/>
          <w:gridAfter w:val="2"/>
          <w:wAfter w:w="864" w:type="dxa"/>
        </w:trPr>
        <w:tc>
          <w:tcPr>
            <w:tcW w:w="964" w:type="dxa"/>
            <w:vMerge w:val="restart"/>
            <w:tcBorders>
              <w:top w:val="single" w:sz="6" w:space="0" w:color="000000"/>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科目代码</w:t>
            </w:r>
          </w:p>
        </w:tc>
        <w:tc>
          <w:tcPr>
            <w:tcW w:w="3297" w:type="dxa"/>
            <w:gridSpan w:val="2"/>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科目名称</w:t>
            </w:r>
          </w:p>
        </w:tc>
        <w:tc>
          <w:tcPr>
            <w:tcW w:w="1134" w:type="dxa"/>
            <w:gridSpan w:val="2"/>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决算数</w:t>
            </w:r>
          </w:p>
        </w:tc>
        <w:tc>
          <w:tcPr>
            <w:tcW w:w="965" w:type="dxa"/>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科目代码</w:t>
            </w:r>
          </w:p>
        </w:tc>
        <w:tc>
          <w:tcPr>
            <w:tcW w:w="2131" w:type="dxa"/>
            <w:gridSpan w:val="2"/>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科目名称</w:t>
            </w:r>
          </w:p>
        </w:tc>
        <w:tc>
          <w:tcPr>
            <w:tcW w:w="996" w:type="dxa"/>
            <w:gridSpan w:val="2"/>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决算数</w:t>
            </w:r>
          </w:p>
        </w:tc>
        <w:tc>
          <w:tcPr>
            <w:tcW w:w="965" w:type="dxa"/>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科目代码</w:t>
            </w:r>
          </w:p>
        </w:tc>
        <w:tc>
          <w:tcPr>
            <w:tcW w:w="3466" w:type="dxa"/>
            <w:gridSpan w:val="2"/>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科目名称</w:t>
            </w:r>
          </w:p>
        </w:tc>
        <w:tc>
          <w:tcPr>
            <w:tcW w:w="951" w:type="dxa"/>
            <w:vMerge w:val="restart"/>
            <w:tcBorders>
              <w:top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4"/>
              </w:rPr>
            </w:pPr>
            <w:r>
              <w:rPr>
                <w:color w:val="000000"/>
              </w:rPr>
              <w:t>决算数</w:t>
            </w:r>
          </w:p>
        </w:tc>
      </w:tr>
      <w:tr>
        <w:trPr>
          <w:trHeight w:val="300"/>
          <w:gridBefore w:val="1"/>
          <w:wBefore w:w="766" w:type="dxa"/>
          <w:gridAfter w:val="2"/>
          <w:wAfter w:w="864" w:type="dxa"/>
        </w:trPr>
        <w:tc>
          <w:tcPr>
            <w:tcW w:w="964" w:type="dxa"/>
            <w:vMerge/>
            <w:tcBorders>
              <w:top w:val="single" w:sz="6" w:space="0" w:color="000000"/>
              <w:left w:val="single" w:sz="6" w:space="0" w:color="000000"/>
              <w:bottom w:val="single" w:sz="6" w:space="0" w:color="000000"/>
              <w:right w:val="single" w:sz="6" w:space="0" w:color="000000"/>
            </w:tcBorders>
            <w:noWrap/>
            <w:tcMar>
              <w:top w:w="15" w:type="dxa"/>
              <w:bottom w:w="15" w:type="dxa"/>
            </w:tcMar>
            <w:vAlign w:val="center"/>
          </w:tcPr>
          <w:p/>
        </w:tc>
        <w:tc>
          <w:tcPr>
            <w:tcW w:w="3297"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c>
          <w:tcPr>
            <w:tcW w:w="1134"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c>
          <w:tcPr>
            <w:tcW w:w="965"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2131"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c>
          <w:tcPr>
            <w:tcW w:w="996"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c>
          <w:tcPr>
            <w:tcW w:w="965" w:type="dxa"/>
            <w:vMerge/>
            <w:tcBorders>
              <w:top w:val="single" w:sz="6" w:space="0" w:color="000000"/>
              <w:bottom w:val="single" w:sz="6" w:space="0" w:color="000000"/>
              <w:right w:val="single" w:sz="6" w:space="0" w:color="000000"/>
            </w:tcBorders>
            <w:noWrap/>
            <w:tcMar>
              <w:top w:w="15" w:type="dxa"/>
              <w:bottom w:w="15" w:type="dxa"/>
            </w:tcMar>
            <w:vAlign w:val="center"/>
          </w:tcPr>
          <w:p/>
        </w:tc>
        <w:tc>
          <w:tcPr>
            <w:tcW w:w="3466" w:type="dxa"/>
            <w:gridSpan w:val="2"/>
            <w:vMerge/>
            <w:tcBorders>
              <w:top w:val="single" w:sz="6" w:space="0" w:color="000000"/>
              <w:bottom w:val="single" w:sz="6" w:space="0" w:color="000000"/>
              <w:right w:val="single" w:sz="6" w:space="0" w:color="000000"/>
            </w:tcBorders>
            <w:noWrap/>
            <w:tcMar>
              <w:top w:w="15" w:type="dxa"/>
              <w:bottom w:w="15" w:type="dxa"/>
            </w:tcMar>
            <w:vAlign w:val="center"/>
          </w:tcPr>
          <w:p/>
        </w:tc>
        <w:tc>
          <w:tcPr>
            <w:tcW w:w="951" w:type="dxa"/>
            <w:vMerge/>
            <w:tcBorders>
              <w:top w:val="single" w:sz="6" w:space="0" w:color="000000"/>
              <w:bottom w:val="single" w:sz="6" w:space="0" w:color="000000"/>
              <w:right w:val="single" w:sz="6" w:space="0" w:color="000000"/>
            </w:tcBorders>
            <w:noWrap/>
            <w:tcMar>
              <w:top w:w="15" w:type="dxa"/>
              <w:bottom w:w="15" w:type="dxa"/>
            </w:tcMar>
            <w:vAlign w:val="center"/>
          </w:tcP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工资福利支出</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1,103.81 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商品和服务支出</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304.65 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307</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债务利息及费用支出</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30101</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基本工资</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240.66 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30201</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办公费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7.78 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30701</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国内债务付息</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30102</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津贴补贴</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506.13 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30202</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印刷费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0.19 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30702</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国外债务付息</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30103</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奖金</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25.22 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30203</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咨询费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资本性支出</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0.95 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30106</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伙食补助费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30204</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手续费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0.19 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31001</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房屋建筑物购建</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30107</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绩效工资</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30205</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水费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1.44 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31002</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办公设备购置</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0.95 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30108</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机关事业单位基本养老保险缴费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84.42 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30206</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电费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13.54 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31003</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专用设备购置</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30109</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职业年金缴费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42.21 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30207</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邮电费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8.15 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31005</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基础设施建设</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30110</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职工基本医疗保险缴费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64.32 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30208</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取暖费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0.18 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31006</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大型修缮</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30111</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公务员医疗补助缴费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30209</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物业管理费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31.72 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31007</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信息网络及软件购置更新</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30112</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其他社会保障缴费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30211</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差旅费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10.38 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31008</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物资储备</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30113</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住房公积金</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140.85 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30212</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因公出国（境）费用</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31009</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土地补偿</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30114</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医疗费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30213</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维修（护）费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6.80 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31010</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安置补助</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30199</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其他工资福利支出</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30214</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租赁费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6.40 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31011</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地上附着物和青苗补偿</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对个人和家庭的补助</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3.40 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30215</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会议费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31012</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拆迁补偿</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30301</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离休费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30216</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培训费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31013</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公务用车购置</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30302</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退休费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0.80 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30217</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公务接待费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31019</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其他交通工具购置</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30303</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退职（役）费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30218</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专用材料费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31021</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文物和陈列品购置</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30304</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抚恤金</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30224</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被装购置费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31022</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无形资产购置</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30305</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生活补助</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30225</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专用燃料费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31099</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其他资本性支出</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30306</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救济费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30226</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劳务费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90.08 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399</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其他支出</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30307</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医疗费补助</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30227</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委托业务费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39907</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国家赔偿费用支出</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45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30308</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助学金</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30228</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工会经费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14.45 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39908</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18"/>
                <w:szCs w:val="18"/>
              </w:rPr>
            </w:pPr>
            <w:r>
              <w:rPr>
                <w:color w:val="000000"/>
                <w:sz w:val="18"/>
                <w:szCs w:val="18"/>
              </w:rPr>
              <w:t>对民间非营利组织和群众性自治组织补贴</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30309</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奖励金</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0.56 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30229</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福利费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64.63 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39909</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经常性赠与</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30310</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个人农业生产补贴</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30231</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Cs w:val="22"/>
              </w:rPr>
              <w:t>公务用车运行维护费</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39910</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资本性赠与</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30311</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代缴社会保险费</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30239</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其他交通费用</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38.80 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39999</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其他支出</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30399</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其他对个人和家庭的补助</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2.04 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30240</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 w:val="22"/>
                <w:szCs w:val="22"/>
              </w:rPr>
              <w:t>税金及附加费用</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4"/>
              </w:rPr>
            </w:pPr>
            <w:r>
              <w:rPr>
                <w:rFonts w:hint="eastAsia"/>
                <w:color w:val="000000"/>
              </w:rPr>
              <w:t>　</w:t>
            </w:r>
          </w:p>
        </w:tc>
      </w:tr>
      <w:tr>
        <w:trPr>
          <w:trHeight w:val="300"/>
          <w:gridBefore w:val="1"/>
          <w:wBefore w:w="766" w:type="dxa"/>
          <w:gridAfter w:val="2"/>
          <w:wAfter w:w="864" w:type="dxa"/>
        </w:trPr>
        <w:tc>
          <w:tcPr>
            <w:tcW w:w="964" w:type="dxa"/>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w:t>
            </w:r>
          </w:p>
        </w:tc>
        <w:tc>
          <w:tcPr>
            <w:tcW w:w="3297"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　</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2"/>
                <w:szCs w:val="22"/>
              </w:rPr>
            </w:pPr>
            <w:r>
              <w:rPr>
                <w:rFonts w:hint="eastAsia"/>
                <w:color w:val="000000"/>
                <w:sz w:val="22"/>
                <w:szCs w:val="22"/>
              </w:rPr>
              <w:t>30299</w:t>
            </w:r>
          </w:p>
        </w:tc>
        <w:tc>
          <w:tcPr>
            <w:tcW w:w="2131"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Calibri" w:cs="宋体" w:hAnsi="Calibri"/>
                <w:color w:val="000000"/>
                <w:sz w:val="22"/>
                <w:szCs w:val="22"/>
              </w:rPr>
            </w:pPr>
            <w:r>
              <w:rPr>
                <w:color w:val="000000"/>
                <w:szCs w:val="22"/>
              </w:rPr>
              <w:t>其他商品和服务支出</w:t>
            </w:r>
          </w:p>
        </w:tc>
        <w:tc>
          <w:tcPr>
            <w:tcW w:w="996"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9.92 </w:t>
            </w:r>
          </w:p>
        </w:tc>
        <w:tc>
          <w:tcPr>
            <w:tcW w:w="965"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4"/>
              </w:rPr>
            </w:pPr>
            <w:r>
              <w:rPr>
                <w:rFonts w:hint="eastAsia"/>
                <w:color w:val="000000"/>
              </w:rPr>
              <w:t>　</w:t>
            </w:r>
          </w:p>
        </w:tc>
        <w:tc>
          <w:tcPr>
            <w:tcW w:w="3466" w:type="dxa"/>
            <w:gridSpan w:val="2"/>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4"/>
              </w:rPr>
            </w:pPr>
            <w:r>
              <w:rPr>
                <w:rFonts w:hint="eastAsia"/>
                <w:color w:val="000000"/>
              </w:rPr>
              <w:t>　</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rPr>
                <w:rFonts w:ascii="宋体" w:cs="宋体"/>
                <w:color w:val="000000"/>
                <w:sz w:val="24"/>
              </w:rPr>
            </w:pPr>
            <w:r>
              <w:rPr>
                <w:rFonts w:hint="eastAsia"/>
                <w:color w:val="000000"/>
              </w:rPr>
              <w:t>　</w:t>
            </w:r>
          </w:p>
        </w:tc>
      </w:tr>
      <w:tr>
        <w:trPr>
          <w:trHeight w:val="300"/>
          <w:gridBefore w:val="1"/>
          <w:wBefore w:w="766" w:type="dxa"/>
          <w:gridAfter w:val="2"/>
          <w:wAfter w:w="864" w:type="dxa"/>
        </w:trPr>
        <w:tc>
          <w:tcPr>
            <w:tcW w:w="4261" w:type="dxa"/>
            <w:gridSpan w:val="3"/>
            <w:tcBorders>
              <w:left w:val="single" w:sz="6" w:space="0" w:color="000000"/>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人员经费合计 </w:t>
            </w:r>
          </w:p>
        </w:tc>
        <w:tc>
          <w:tcPr>
            <w:tcW w:w="1134" w:type="dxa"/>
            <w:gridSpan w:val="2"/>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1,107.21 </w:t>
            </w:r>
          </w:p>
        </w:tc>
        <w:tc>
          <w:tcPr>
            <w:tcW w:w="8523" w:type="dxa"/>
            <w:gridSpan w:val="8"/>
            <w:tcBorders>
              <w:bottom w:val="single" w:sz="6" w:space="0" w:color="000000"/>
              <w:right w:val="single" w:sz="6" w:space="0" w:color="000000"/>
            </w:tcBorders>
            <w:shd w:val="clear" w:color="auto" w:fill="auto"/>
            <w:noWrap/>
            <w:tcMar>
              <w:top w:w="15" w:type="dxa"/>
              <w:bottom w:w="15" w:type="dxa"/>
            </w:tcMar>
            <w:vAlign w:val="center"/>
          </w:tcPr>
          <w:p>
            <w:pPr>
              <w:jc w:val="center"/>
              <w:rPr>
                <w:rFonts w:ascii="Calibri" w:cs="宋体" w:hAnsi="Calibri"/>
                <w:color w:val="000000"/>
                <w:sz w:val="22"/>
                <w:szCs w:val="22"/>
              </w:rPr>
            </w:pPr>
            <w:r>
              <w:rPr>
                <w:color w:val="000000"/>
                <w:sz w:val="22"/>
                <w:szCs w:val="22"/>
              </w:rPr>
              <w:t>公用经费合计</w:t>
            </w:r>
          </w:p>
        </w:tc>
        <w:tc>
          <w:tcPr>
            <w:tcW w:w="951" w:type="dxa"/>
            <w:tcBorders>
              <w:bottom w:val="single" w:sz="6" w:space="0" w:color="000000"/>
              <w:right w:val="single" w:sz="6" w:space="0" w:color="000000"/>
            </w:tcBorders>
            <w:shd w:val="clear" w:color="auto" w:fill="auto"/>
            <w:noWrap/>
            <w:tcMar>
              <w:top w:w="15" w:type="dxa"/>
              <w:bottom w:w="15" w:type="dxa"/>
            </w:tcMar>
            <w:vAlign w:val="center"/>
          </w:tcPr>
          <w:p>
            <w:pPr>
              <w:jc w:val="right"/>
              <w:rPr>
                <w:rFonts w:ascii="Arial" w:cs="Arial" w:hAnsi="Arial"/>
                <w:color w:val="000000"/>
                <w:sz w:val="22"/>
                <w:szCs w:val="22"/>
              </w:rPr>
            </w:pPr>
            <w:r>
              <w:rPr>
                <w:rFonts w:ascii="Arial" w:cs="Arial" w:hAnsi="Arial"/>
                <w:color w:val="000000"/>
                <w:sz w:val="22"/>
                <w:szCs w:val="22"/>
              </w:rPr>
              <w:t>305.60 </w:t>
            </w:r>
          </w:p>
        </w:tc>
      </w:tr>
      <w:tr>
        <w:trPr>
          <w:trHeight w:val="308"/>
          <w:gridAfter w:val="1"/>
          <w:wAfter w:w="466" w:type="dxa"/>
        </w:trPr>
        <w:tc>
          <w:tcPr>
            <w:tcW w:w="16033" w:type="dxa"/>
            <w:gridSpan w:val="16"/>
            <w:tcBorders>
              <w:top w:val="nil"/>
              <w:left w:val="nil"/>
              <w:bottom w:val="nil"/>
              <w:right w:val="nil"/>
            </w:tcBorders>
            <w:noWrap/>
            <w:vAlign w:val="center"/>
          </w:tcPr>
          <w:p>
            <w:pPr>
              <w:widowControl/>
              <w:ind w:firstLineChars="350" w:firstLine="770"/>
              <w:jc w:val="left"/>
              <w:rPr>
                <w:rFonts w:ascii="宋体" w:cs="Arial"/>
                <w:color w:val="000000"/>
                <w:kern w:val="0"/>
                <w:sz w:val="22"/>
                <w:szCs w:val="22"/>
              </w:rPr>
            </w:pPr>
            <w:r>
              <w:rPr>
                <w:rFonts w:ascii="宋体" w:cs="Arial" w:hint="eastAsia"/>
                <w:color w:val="000000"/>
                <w:kern w:val="0"/>
                <w:sz w:val="22"/>
                <w:szCs w:val="22"/>
              </w:rPr>
              <w:t>注：本表反映部门本年度一般公共预算财政拨款基本支出明细情况。</w:t>
            </w:r>
          </w:p>
        </w:tc>
      </w:tr>
    </w:tbl>
    <w:p/>
    <w:p/>
    <w:p/>
    <w:p/>
    <w:p/>
    <w:p/>
    <w:p/>
    <w:p/>
    <w:p/>
    <w:p/>
    <w:p/>
    <w:p/>
    <w:p/>
    <w:p/>
    <w:p/>
    <w:p/>
    <w:tbl>
      <w:tblPr>
        <w:tblpPr w:leftFromText="180" w:rightFromText="180" w:horzAnchor="margin" w:tblpXSpec="center" w:tblpY="240"/>
        <w:tblW w:w="1584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76"/>
        <w:gridCol w:w="61"/>
        <w:gridCol w:w="1190"/>
        <w:gridCol w:w="201"/>
        <w:gridCol w:w="910"/>
        <w:gridCol w:w="481"/>
        <w:gridCol w:w="768"/>
        <w:gridCol w:w="623"/>
        <w:gridCol w:w="627"/>
        <w:gridCol w:w="764"/>
        <w:gridCol w:w="625"/>
        <w:gridCol w:w="972"/>
        <w:gridCol w:w="1082"/>
        <w:gridCol w:w="104"/>
        <w:gridCol w:w="1313"/>
        <w:gridCol w:w="78"/>
        <w:gridCol w:w="1172"/>
        <w:gridCol w:w="219"/>
        <w:gridCol w:w="1509"/>
        <w:gridCol w:w="141"/>
        <w:gridCol w:w="2127"/>
      </w:tblGrid>
      <w:tr>
        <w:trPr>
          <w:trHeight w:val="398"/>
        </w:trPr>
        <w:tc>
          <w:tcPr>
            <w:tcW w:w="15843" w:type="dxa"/>
            <w:gridSpan w:val="21"/>
            <w:tcBorders>
              <w:top w:val="nil"/>
              <w:left w:val="nil"/>
              <w:bottom w:val="nil"/>
              <w:right w:val="nil"/>
            </w:tcBorders>
            <w:noWrap/>
            <w:vAlign w:val="bottom"/>
          </w:tcPr>
          <w:tbl>
            <w:tblPr>
              <w:jc w:val="left"/>
              <w:tblW w:w="1507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3"/>
              <w:gridCol w:w="83"/>
              <w:gridCol w:w="83"/>
              <w:gridCol w:w="1850"/>
              <w:gridCol w:w="1962"/>
              <w:gridCol w:w="1962"/>
              <w:gridCol w:w="1962"/>
              <w:gridCol w:w="1962"/>
              <w:gridCol w:w="1962"/>
              <w:gridCol w:w="3161"/>
            </w:tblGrid>
            <w:tr>
              <w:trPr>
                <w:trHeight w:val="390"/>
              </w:trPr>
              <w:tc>
                <w:tcPr>
                  <w:tcW w:w="15071" w:type="dxa"/>
                  <w:gridSpan w:val="10"/>
                  <w:tcBorders>
                    <w:top w:val="nil"/>
                    <w:left w:val="nil"/>
                    <w:bottom w:val="nil"/>
                    <w:right w:val="nil"/>
                  </w:tcBorders>
                  <w:shd w:val="clear" w:color="auto" w:fill="auto"/>
                  <w:noWrap/>
                  <w:vAlign w:val="bottom"/>
                </w:tcPr>
                <w:p>
                  <w:pPr>
                    <w:widowControl/>
                    <w:jc w:val="center"/>
                    <w:rPr>
                      <w:rFonts w:ascii="宋体" w:cs="Arial"/>
                      <w:color w:val="000000"/>
                      <w:kern w:val="0"/>
                      <w:sz w:val="30"/>
                      <w:szCs w:val="30"/>
                    </w:rPr>
                  </w:pPr>
                  <w:r>
                    <w:rPr>
                      <w:rFonts w:ascii="方正黑体_GBK" w:eastAsia="方正黑体_GBK" w:cs="Arial" w:hint="eastAsia"/>
                      <w:color w:val="000000"/>
                      <w:kern w:val="0"/>
                      <w:sz w:val="32"/>
                      <w:szCs w:val="32"/>
                    </w:rPr>
                    <w:t>政府性基金预算财政拨款收入支出决算表</w:t>
                  </w:r>
                </w:p>
              </w:tc>
            </w:tr>
            <w:tr>
              <w:trPr>
                <w:trHeight w:val="255"/>
              </w:trPr>
              <w:tc>
                <w:tcPr>
                  <w:tcW w:w="84"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8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8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850"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3161"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公开07表</w:t>
                  </w:r>
                </w:p>
              </w:tc>
            </w:tr>
            <w:tr>
              <w:trPr>
                <w:trHeight w:val="255"/>
              </w:trPr>
              <w:tc>
                <w:tcPr>
                  <w:tcW w:w="2100" w:type="dxa"/>
                  <w:gridSpan w:val="4"/>
                  <w:tcBorders>
                    <w:top w:val="nil"/>
                    <w:left w:val="nil"/>
                    <w:bottom w:val="nil"/>
                    <w:right w:val="nil"/>
                  </w:tcBorders>
                  <w:shd w:val="clear" w:color="auto" w:fill="auto"/>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部门：济南机场海关</w:t>
                  </w: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196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3161" w:type="dxa"/>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08"/>
              </w:trPr>
              <w:tc>
                <w:tcPr>
                  <w:tcW w:w="210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1962"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年初结转和结余</w:t>
                  </w:r>
                </w:p>
              </w:tc>
              <w:tc>
                <w:tcPr>
                  <w:tcW w:w="1962"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本年收入</w:t>
                  </w:r>
                </w:p>
              </w:tc>
              <w:tc>
                <w:tcPr>
                  <w:tcW w:w="5886" w:type="dxa"/>
                  <w:gridSpan w:val="3"/>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本年支出</w:t>
                  </w:r>
                </w:p>
              </w:tc>
              <w:tc>
                <w:tcPr>
                  <w:tcW w:w="3161"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年末结转和结余</w:t>
                  </w:r>
                </w:p>
              </w:tc>
            </w:tr>
            <w:tr>
              <w:trPr>
                <w:trHeight w:val="308"/>
              </w:trPr>
              <w:tc>
                <w:tcPr>
                  <w:tcW w:w="250" w:type="dxa"/>
                  <w:gridSpan w:val="3"/>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科目代码</w:t>
                  </w:r>
                </w:p>
              </w:tc>
              <w:tc>
                <w:tcPr>
                  <w:tcW w:w="1850"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1962" w:type="dxa"/>
                  <w:vMerge/>
                  <w:tcBorders>
                    <w:top w:val="single" w:sz="4" w:space="0" w:color="000000"/>
                    <w:left w:val="nil"/>
                    <w:bottom w:val="single" w:sz="4" w:space="0" w:color="000000"/>
                    <w:right w:val="single" w:sz="4" w:space="0" w:color="000000"/>
                  </w:tcBorders>
                  <w:shd w:val="clear" w:color="auto" w:fill="auto"/>
                  <w:vAlign w:val="center"/>
                </w:tcPr>
                <w:p/>
              </w:tc>
              <w:tc>
                <w:tcPr>
                  <w:tcW w:w="1962" w:type="dxa"/>
                  <w:vMerge/>
                  <w:tcBorders>
                    <w:top w:val="single" w:sz="4" w:space="0" w:color="000000"/>
                    <w:left w:val="nil"/>
                    <w:bottom w:val="single" w:sz="4" w:space="0" w:color="000000"/>
                    <w:right w:val="single" w:sz="4" w:space="0" w:color="000000"/>
                  </w:tcBorders>
                  <w:shd w:val="clear" w:color="auto" w:fill="auto"/>
                  <w:vAlign w:val="center"/>
                </w:tcPr>
                <w:p/>
              </w:tc>
              <w:tc>
                <w:tcPr>
                  <w:tcW w:w="196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小计</w:t>
                  </w:r>
                </w:p>
              </w:tc>
              <w:tc>
                <w:tcPr>
                  <w:tcW w:w="196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基本支出</w:t>
                  </w:r>
                </w:p>
              </w:tc>
              <w:tc>
                <w:tcPr>
                  <w:tcW w:w="196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项目支出</w:t>
                  </w:r>
                </w:p>
              </w:tc>
              <w:tc>
                <w:tcPr>
                  <w:tcW w:w="3161"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08"/>
              </w:trPr>
              <w:tc>
                <w:tcPr>
                  <w:tcW w:w="250" w:type="dxa"/>
                  <w:gridSpan w:val="3"/>
                  <w:vMerge/>
                  <w:tcBorders>
                    <w:top w:val="nil"/>
                    <w:left w:val="single" w:sz="4" w:space="0" w:color="000000"/>
                    <w:bottom w:val="single" w:sz="4" w:space="0" w:color="000000"/>
                    <w:right w:val="single" w:sz="4" w:space="0" w:color="000000"/>
                  </w:tcBorders>
                  <w:shd w:val="clear" w:color="auto" w:fill="auto"/>
                  <w:vAlign w:val="center"/>
                </w:tcPr>
                <w:p/>
              </w:tc>
              <w:tc>
                <w:tcPr>
                  <w:tcW w:w="1850" w:type="dxa"/>
                  <w:vMerge/>
                  <w:tcBorders>
                    <w:top w:val="nil"/>
                    <w:left w:val="nil"/>
                    <w:bottom w:val="single" w:sz="4" w:space="0" w:color="000000"/>
                    <w:right w:val="single" w:sz="4" w:space="0" w:color="000000"/>
                  </w:tcBorders>
                  <w:shd w:val="clear" w:color="auto" w:fill="auto"/>
                  <w:vAlign w:val="center"/>
                </w:tcPr>
                <w:p/>
              </w:tc>
              <w:tc>
                <w:tcPr>
                  <w:tcW w:w="1962" w:type="dxa"/>
                  <w:vMerge/>
                  <w:tcBorders>
                    <w:top w:val="single" w:sz="4" w:space="0" w:color="000000"/>
                    <w:left w:val="nil"/>
                    <w:bottom w:val="single" w:sz="4" w:space="0" w:color="000000"/>
                    <w:right w:val="single" w:sz="4" w:space="0" w:color="000000"/>
                  </w:tcBorders>
                  <w:shd w:val="clear" w:color="auto" w:fill="auto"/>
                  <w:vAlign w:val="center"/>
                </w:tcPr>
                <w:p/>
              </w:tc>
              <w:tc>
                <w:tcPr>
                  <w:tcW w:w="1962" w:type="dxa"/>
                  <w:vMerge/>
                  <w:tcBorders>
                    <w:top w:val="single" w:sz="4" w:space="0" w:color="000000"/>
                    <w:left w:val="nil"/>
                    <w:bottom w:val="single" w:sz="4" w:space="0" w:color="000000"/>
                    <w:right w:val="single" w:sz="4" w:space="0" w:color="000000"/>
                  </w:tcBorders>
                  <w:shd w:val="clear" w:color="auto" w:fill="auto"/>
                  <w:vAlign w:val="center"/>
                </w:tcPr>
                <w:p/>
              </w:tc>
              <w:tc>
                <w:tcPr>
                  <w:tcW w:w="1962" w:type="dxa"/>
                  <w:vMerge/>
                  <w:tcBorders>
                    <w:top w:val="nil"/>
                    <w:left w:val="nil"/>
                    <w:bottom w:val="single" w:sz="4" w:space="0" w:color="000000"/>
                    <w:right w:val="single" w:sz="4" w:space="0" w:color="000000"/>
                  </w:tcBorders>
                  <w:shd w:val="clear" w:color="auto" w:fill="auto"/>
                  <w:vAlign w:val="center"/>
                </w:tcPr>
                <w:p/>
              </w:tc>
              <w:tc>
                <w:tcPr>
                  <w:tcW w:w="1962" w:type="dxa"/>
                  <w:vMerge/>
                  <w:tcBorders>
                    <w:top w:val="nil"/>
                    <w:left w:val="nil"/>
                    <w:bottom w:val="single" w:sz="4" w:space="0" w:color="000000"/>
                    <w:right w:val="single" w:sz="4" w:space="0" w:color="000000"/>
                  </w:tcBorders>
                  <w:shd w:val="clear" w:color="auto" w:fill="auto"/>
                  <w:vAlign w:val="center"/>
                </w:tcPr>
                <w:p/>
              </w:tc>
              <w:tc>
                <w:tcPr>
                  <w:tcW w:w="1962" w:type="dxa"/>
                  <w:vMerge/>
                  <w:tcBorders>
                    <w:top w:val="nil"/>
                    <w:left w:val="nil"/>
                    <w:bottom w:val="single" w:sz="4" w:space="0" w:color="000000"/>
                    <w:right w:val="single" w:sz="4" w:space="0" w:color="000000"/>
                  </w:tcBorders>
                  <w:shd w:val="clear" w:color="auto" w:fill="auto"/>
                  <w:vAlign w:val="center"/>
                </w:tcPr>
                <w:p/>
              </w:tc>
              <w:tc>
                <w:tcPr>
                  <w:tcW w:w="3161"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08"/>
              </w:trPr>
              <w:tc>
                <w:tcPr>
                  <w:tcW w:w="250" w:type="dxa"/>
                  <w:gridSpan w:val="3"/>
                  <w:vMerge/>
                  <w:tcBorders>
                    <w:top w:val="nil"/>
                    <w:left w:val="single" w:sz="4" w:space="0" w:color="000000"/>
                    <w:bottom w:val="single" w:sz="4" w:space="0" w:color="000000"/>
                    <w:right w:val="single" w:sz="4" w:space="0" w:color="000000"/>
                  </w:tcBorders>
                  <w:shd w:val="clear" w:color="auto" w:fill="auto"/>
                  <w:vAlign w:val="center"/>
                </w:tcPr>
                <w:p/>
              </w:tc>
              <w:tc>
                <w:tcPr>
                  <w:tcW w:w="1850" w:type="dxa"/>
                  <w:vMerge/>
                  <w:tcBorders>
                    <w:top w:val="nil"/>
                    <w:left w:val="nil"/>
                    <w:bottom w:val="single" w:sz="4" w:space="0" w:color="000000"/>
                    <w:right w:val="single" w:sz="4" w:space="0" w:color="000000"/>
                  </w:tcBorders>
                  <w:shd w:val="clear" w:color="auto" w:fill="auto"/>
                  <w:vAlign w:val="center"/>
                </w:tcPr>
                <w:p/>
              </w:tc>
              <w:tc>
                <w:tcPr>
                  <w:tcW w:w="1962" w:type="dxa"/>
                  <w:vMerge/>
                  <w:tcBorders>
                    <w:top w:val="single" w:sz="4" w:space="0" w:color="000000"/>
                    <w:left w:val="nil"/>
                    <w:bottom w:val="single" w:sz="4" w:space="0" w:color="000000"/>
                    <w:right w:val="single" w:sz="4" w:space="0" w:color="000000"/>
                  </w:tcBorders>
                  <w:shd w:val="clear" w:color="auto" w:fill="auto"/>
                  <w:vAlign w:val="center"/>
                </w:tcPr>
                <w:p/>
              </w:tc>
              <w:tc>
                <w:tcPr>
                  <w:tcW w:w="1962" w:type="dxa"/>
                  <w:vMerge/>
                  <w:tcBorders>
                    <w:top w:val="single" w:sz="4" w:space="0" w:color="000000"/>
                    <w:left w:val="nil"/>
                    <w:bottom w:val="single" w:sz="4" w:space="0" w:color="000000"/>
                    <w:right w:val="single" w:sz="4" w:space="0" w:color="000000"/>
                  </w:tcBorders>
                  <w:shd w:val="clear" w:color="auto" w:fill="auto"/>
                  <w:vAlign w:val="center"/>
                </w:tcPr>
                <w:p/>
              </w:tc>
              <w:tc>
                <w:tcPr>
                  <w:tcW w:w="1962" w:type="dxa"/>
                  <w:vMerge/>
                  <w:tcBorders>
                    <w:top w:val="nil"/>
                    <w:left w:val="nil"/>
                    <w:bottom w:val="single" w:sz="4" w:space="0" w:color="000000"/>
                    <w:right w:val="single" w:sz="4" w:space="0" w:color="000000"/>
                  </w:tcBorders>
                  <w:shd w:val="clear" w:color="auto" w:fill="auto"/>
                  <w:vAlign w:val="center"/>
                </w:tcPr>
                <w:p/>
              </w:tc>
              <w:tc>
                <w:tcPr>
                  <w:tcW w:w="1962" w:type="dxa"/>
                  <w:vMerge/>
                  <w:tcBorders>
                    <w:top w:val="nil"/>
                    <w:left w:val="nil"/>
                    <w:bottom w:val="single" w:sz="4" w:space="0" w:color="000000"/>
                    <w:right w:val="single" w:sz="4" w:space="0" w:color="000000"/>
                  </w:tcBorders>
                  <w:shd w:val="clear" w:color="auto" w:fill="auto"/>
                  <w:vAlign w:val="center"/>
                </w:tcPr>
                <w:p/>
              </w:tc>
              <w:tc>
                <w:tcPr>
                  <w:tcW w:w="1962" w:type="dxa"/>
                  <w:vMerge/>
                  <w:tcBorders>
                    <w:top w:val="nil"/>
                    <w:left w:val="nil"/>
                    <w:bottom w:val="single" w:sz="4" w:space="0" w:color="000000"/>
                    <w:right w:val="single" w:sz="4" w:space="0" w:color="000000"/>
                  </w:tcBorders>
                  <w:shd w:val="clear" w:color="auto" w:fill="auto"/>
                  <w:vAlign w:val="center"/>
                </w:tcPr>
                <w:p/>
              </w:tc>
              <w:tc>
                <w:tcPr>
                  <w:tcW w:w="3161" w:type="dxa"/>
                  <w:vMerge/>
                  <w:tcBorders>
                    <w:top w:val="single" w:sz="4" w:space="0" w:color="000000"/>
                    <w:left w:val="nil"/>
                    <w:bottom w:val="single" w:sz="4" w:space="0" w:color="000000"/>
                    <w:right w:val="single" w:sz="4" w:space="0" w:color="000000"/>
                  </w:tcBorders>
                  <w:shd w:val="clear" w:color="auto" w:fill="auto"/>
                  <w:vAlign w:val="center"/>
                </w:tcPr>
                <w:p/>
              </w:tc>
            </w:tr>
            <w:tr>
              <w:trPr>
                <w:trHeight w:val="308"/>
              </w:trPr>
              <w:tc>
                <w:tcPr>
                  <w:tcW w:w="2100"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4</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5</w:t>
                  </w:r>
                </w:p>
              </w:tc>
              <w:tc>
                <w:tcPr>
                  <w:tcW w:w="3161"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6</w:t>
                  </w:r>
                </w:p>
              </w:tc>
            </w:tr>
            <w:tr>
              <w:trPr>
                <w:trHeight w:val="308"/>
              </w:trPr>
              <w:tc>
                <w:tcPr>
                  <w:tcW w:w="2100"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316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FFFFFF"/>
                      <w:kern w:val="0"/>
                      <w:sz w:val="22"/>
                      <w:szCs w:val="22"/>
                    </w:rPr>
                  </w:pPr>
                  <w:r>
                    <w:rPr>
                      <w:rFonts w:ascii="宋体" w:cs="Arial" w:hint="eastAsia"/>
                      <w:b/>
                      <w:bCs/>
                      <w:color w:val="000000"/>
                      <w:kern w:val="0"/>
                      <w:sz w:val="22"/>
                      <w:szCs w:val="22"/>
                    </w:rPr>
                    <w:t>　</w:t>
                  </w:r>
                </w:p>
              </w:tc>
            </w:tr>
            <w:tr>
              <w:trPr>
                <w:trHeight w:val="308"/>
              </w:trPr>
              <w:tc>
                <w:tcPr>
                  <w:tcW w:w="25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85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16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25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85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16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25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85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16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25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85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16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25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85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16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25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85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196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316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5071" w:type="dxa"/>
                  <w:gridSpan w:val="10"/>
                  <w:tcBorders>
                    <w:top w:val="nil"/>
                    <w:left w:val="nil"/>
                    <w:bottom w:val="nil"/>
                    <w:right w:val="nil"/>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注：本表反映部门本年度政府性基金预算财政拨款收入、支出及结转和结余情况。</w:t>
                  </w:r>
                </w:p>
              </w:tc>
            </w:tr>
          </w:tbl>
          <w:p>
            <w:pPr>
              <w:rPr>
                <w:rFonts w:ascii="宋体" w:cs="Arial"/>
                <w:color w:val="000000"/>
                <w:kern w:val="0"/>
                <w:sz w:val="22"/>
                <w:szCs w:val="22"/>
              </w:rPr>
            </w:pPr>
            <w:r>
              <w:rPr>
                <w:rFonts w:ascii="宋体" w:cs="Arial" w:hint="eastAsia"/>
                <w:color w:val="000000"/>
                <w:kern w:val="0"/>
                <w:sz w:val="22"/>
                <w:szCs w:val="22"/>
              </w:rPr>
              <w:t>说明：济南机场海关没有政府性基金收支，故本表无数据。</w:t>
            </w: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tbl>
            <w:tblPr>
              <w:jc w:val="left"/>
              <w:tblW w:w="1474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36"/>
              <w:gridCol w:w="236"/>
              <w:gridCol w:w="236"/>
              <w:gridCol w:w="2021"/>
              <w:gridCol w:w="2143"/>
              <w:gridCol w:w="415"/>
              <w:gridCol w:w="1728"/>
              <w:gridCol w:w="3092"/>
              <w:gridCol w:w="4677"/>
            </w:tblGrid>
            <w:tr>
              <w:trPr>
                <w:trHeight w:val="390"/>
              </w:trPr>
              <w:tc>
                <w:tcPr>
                  <w:tcW w:w="14742" w:type="dxa"/>
                  <w:gridSpan w:val="9"/>
                  <w:tcBorders>
                    <w:top w:val="nil"/>
                    <w:left w:val="nil"/>
                    <w:bottom w:val="nil"/>
                    <w:right w:val="nil"/>
                  </w:tcBorders>
                  <w:shd w:val="clear" w:color="auto" w:fill="auto"/>
                  <w:noWrap/>
                  <w:vAlign w:val="bottom"/>
                </w:tcPr>
                <w:p>
                  <w:pPr>
                    <w:widowControl/>
                    <w:jc w:val="center"/>
                    <w:rPr>
                      <w:rFonts w:ascii="方正黑体_GBK" w:eastAsia="方正黑体_GBK" w:cs="Arial"/>
                      <w:color w:val="000000"/>
                      <w:kern w:val="0"/>
                      <w:sz w:val="32"/>
                      <w:szCs w:val="32"/>
                    </w:rPr>
                  </w:pPr>
                  <w:r>
                    <w:rPr>
                      <w:rFonts w:ascii="方正黑体_GBK" w:eastAsia="方正黑体_GBK" w:cs="Arial" w:hint="eastAsia"/>
                      <w:color w:val="000000"/>
                      <w:kern w:val="0"/>
                      <w:sz w:val="32"/>
                      <w:szCs w:val="32"/>
                    </w:rPr>
                    <w:t>国有资本经营预算财政拨款支出决算表</w:t>
                  </w:r>
                </w:p>
              </w:tc>
            </w:tr>
            <w:tr>
              <w:trPr>
                <w:trHeight w:val="255"/>
              </w:trPr>
              <w:tc>
                <w:tcPr>
                  <w:tcW w:w="22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2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22"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021"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14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143" w:type="dxa"/>
                  <w:gridSpan w:val="2"/>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7769" w:type="dxa"/>
                  <w:gridSpan w:val="2"/>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公开08表</w:t>
                  </w:r>
                </w:p>
              </w:tc>
            </w:tr>
            <w:tr>
              <w:trPr>
                <w:trHeight w:val="255"/>
              </w:trPr>
              <w:tc>
                <w:tcPr>
                  <w:tcW w:w="2687" w:type="dxa"/>
                  <w:gridSpan w:val="4"/>
                  <w:tcBorders>
                    <w:top w:val="nil"/>
                    <w:left w:val="nil"/>
                    <w:bottom w:val="nil"/>
                    <w:right w:val="nil"/>
                  </w:tcBorders>
                  <w:shd w:val="clear" w:color="auto" w:fill="auto"/>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部门：济南机场海关</w:t>
                  </w:r>
                </w:p>
              </w:tc>
              <w:tc>
                <w:tcPr>
                  <w:tcW w:w="2143" w:type="dxa"/>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2143" w:type="dxa"/>
                  <w:gridSpan w:val="2"/>
                  <w:tcBorders>
                    <w:top w:val="nil"/>
                    <w:left w:val="nil"/>
                    <w:bottom w:val="nil"/>
                    <w:right w:val="nil"/>
                  </w:tcBorders>
                  <w:shd w:val="clear" w:color="auto" w:fill="auto"/>
                  <w:noWrap/>
                  <w:vAlign w:val="bottom"/>
                </w:tcPr>
                <w:p>
                  <w:pPr>
                    <w:widowControl/>
                    <w:jc w:val="left"/>
                    <w:rPr>
                      <w:rFonts w:ascii="Arial" w:cs="Arial" w:hAnsi="Arial"/>
                      <w:color w:val="000000"/>
                      <w:kern w:val="0"/>
                      <w:sz w:val="20"/>
                      <w:szCs w:val="20"/>
                    </w:rPr>
                  </w:pPr>
                </w:p>
              </w:tc>
              <w:tc>
                <w:tcPr>
                  <w:tcW w:w="7769" w:type="dxa"/>
                  <w:gridSpan w:val="2"/>
                  <w:tcBorders>
                    <w:top w:val="nil"/>
                    <w:left w:val="nil"/>
                    <w:bottom w:val="nil"/>
                    <w:right w:val="nil"/>
                  </w:tcBorders>
                  <w:shd w:val="clear" w:color="auto" w:fill="auto"/>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08"/>
              </w:trPr>
              <w:tc>
                <w:tcPr>
                  <w:tcW w:w="26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w:t>
                  </w:r>
                </w:p>
              </w:tc>
              <w:tc>
                <w:tcPr>
                  <w:tcW w:w="12055"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本年支出</w:t>
                  </w:r>
                </w:p>
              </w:tc>
            </w:tr>
            <w:tr>
              <w:trPr>
                <w:trHeight w:val="308"/>
              </w:trPr>
              <w:tc>
                <w:tcPr>
                  <w:tcW w:w="666" w:type="dxa"/>
                  <w:gridSpan w:val="3"/>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科目代码</w:t>
                  </w:r>
                </w:p>
              </w:tc>
              <w:tc>
                <w:tcPr>
                  <w:tcW w:w="2021"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科目名称</w:t>
                  </w:r>
                </w:p>
              </w:tc>
              <w:tc>
                <w:tcPr>
                  <w:tcW w:w="2558"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4820"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基本支出</w:t>
                  </w:r>
                </w:p>
              </w:tc>
              <w:tc>
                <w:tcPr>
                  <w:tcW w:w="4677"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项目支出</w:t>
                  </w:r>
                </w:p>
              </w:tc>
            </w:tr>
            <w:tr>
              <w:trPr>
                <w:trHeight w:val="308"/>
              </w:trPr>
              <w:tc>
                <w:tcPr>
                  <w:tcW w:w="666" w:type="dxa"/>
                  <w:gridSpan w:val="3"/>
                  <w:vMerge/>
                  <w:tcBorders>
                    <w:top w:val="nil"/>
                    <w:left w:val="single" w:sz="4" w:space="0" w:color="000000"/>
                    <w:bottom w:val="single" w:sz="4" w:space="0" w:color="000000"/>
                    <w:right w:val="single" w:sz="4" w:space="0" w:color="000000"/>
                  </w:tcBorders>
                  <w:shd w:val="clear" w:color="auto" w:fill="auto"/>
                  <w:vAlign w:val="center"/>
                </w:tcPr>
                <w:p/>
              </w:tc>
              <w:tc>
                <w:tcPr>
                  <w:tcW w:w="2021" w:type="dxa"/>
                  <w:vMerge/>
                  <w:tcBorders>
                    <w:top w:val="nil"/>
                    <w:left w:val="nil"/>
                    <w:bottom w:val="single" w:sz="4" w:space="0" w:color="000000"/>
                    <w:right w:val="single" w:sz="4" w:space="0" w:color="000000"/>
                  </w:tcBorders>
                  <w:shd w:val="clear" w:color="auto" w:fill="auto"/>
                  <w:vAlign w:val="center"/>
                </w:tcPr>
                <w:p/>
              </w:tc>
              <w:tc>
                <w:tcPr>
                  <w:tcW w:w="2558" w:type="dxa"/>
                  <w:gridSpan w:val="2"/>
                  <w:vMerge/>
                  <w:tcBorders>
                    <w:top w:val="nil"/>
                    <w:left w:val="nil"/>
                    <w:bottom w:val="single" w:sz="4" w:space="0" w:color="000000"/>
                    <w:right w:val="single" w:sz="4" w:space="0" w:color="000000"/>
                  </w:tcBorders>
                  <w:shd w:val="clear" w:color="auto" w:fill="auto"/>
                  <w:vAlign w:val="center"/>
                </w:tcPr>
                <w:p/>
              </w:tc>
              <w:tc>
                <w:tcPr>
                  <w:tcW w:w="4820" w:type="dxa"/>
                  <w:gridSpan w:val="2"/>
                  <w:vMerge/>
                  <w:tcBorders>
                    <w:top w:val="nil"/>
                    <w:left w:val="nil"/>
                    <w:bottom w:val="single" w:sz="4" w:space="0" w:color="000000"/>
                    <w:right w:val="single" w:sz="4" w:space="0" w:color="000000"/>
                  </w:tcBorders>
                  <w:shd w:val="clear" w:color="auto" w:fill="auto"/>
                  <w:vAlign w:val="center"/>
                </w:tcPr>
                <w:p/>
              </w:tc>
              <w:tc>
                <w:tcPr>
                  <w:tcW w:w="4677" w:type="dxa"/>
                  <w:vMerge/>
                  <w:tcBorders>
                    <w:top w:val="nil"/>
                    <w:left w:val="nil"/>
                    <w:bottom w:val="single" w:sz="4" w:space="0" w:color="000000"/>
                    <w:right w:val="single" w:sz="4" w:space="0" w:color="000000"/>
                  </w:tcBorders>
                  <w:shd w:val="clear" w:color="auto" w:fill="auto"/>
                  <w:vAlign w:val="center"/>
                </w:tcPr>
                <w:p/>
              </w:tc>
            </w:tr>
            <w:tr>
              <w:trPr>
                <w:trHeight w:val="308"/>
              </w:trPr>
              <w:tc>
                <w:tcPr>
                  <w:tcW w:w="666" w:type="dxa"/>
                  <w:gridSpan w:val="3"/>
                  <w:vMerge/>
                  <w:tcBorders>
                    <w:top w:val="nil"/>
                    <w:left w:val="single" w:sz="4" w:space="0" w:color="000000"/>
                    <w:bottom w:val="single" w:sz="4" w:space="0" w:color="000000"/>
                    <w:right w:val="single" w:sz="4" w:space="0" w:color="000000"/>
                  </w:tcBorders>
                  <w:shd w:val="clear" w:color="auto" w:fill="auto"/>
                  <w:vAlign w:val="center"/>
                </w:tcPr>
                <w:p/>
              </w:tc>
              <w:tc>
                <w:tcPr>
                  <w:tcW w:w="2021" w:type="dxa"/>
                  <w:vMerge/>
                  <w:tcBorders>
                    <w:top w:val="nil"/>
                    <w:left w:val="nil"/>
                    <w:bottom w:val="single" w:sz="4" w:space="0" w:color="000000"/>
                    <w:right w:val="single" w:sz="4" w:space="0" w:color="000000"/>
                  </w:tcBorders>
                  <w:shd w:val="clear" w:color="auto" w:fill="auto"/>
                  <w:vAlign w:val="center"/>
                </w:tcPr>
                <w:p/>
              </w:tc>
              <w:tc>
                <w:tcPr>
                  <w:tcW w:w="2558" w:type="dxa"/>
                  <w:gridSpan w:val="2"/>
                  <w:vMerge/>
                  <w:tcBorders>
                    <w:top w:val="nil"/>
                    <w:left w:val="nil"/>
                    <w:bottom w:val="single" w:sz="4" w:space="0" w:color="000000"/>
                    <w:right w:val="single" w:sz="4" w:space="0" w:color="000000"/>
                  </w:tcBorders>
                  <w:shd w:val="clear" w:color="auto" w:fill="auto"/>
                  <w:vAlign w:val="center"/>
                </w:tcPr>
                <w:p/>
              </w:tc>
              <w:tc>
                <w:tcPr>
                  <w:tcW w:w="4820" w:type="dxa"/>
                  <w:gridSpan w:val="2"/>
                  <w:vMerge/>
                  <w:tcBorders>
                    <w:top w:val="nil"/>
                    <w:left w:val="nil"/>
                    <w:bottom w:val="single" w:sz="4" w:space="0" w:color="000000"/>
                    <w:right w:val="single" w:sz="4" w:space="0" w:color="000000"/>
                  </w:tcBorders>
                  <w:shd w:val="clear" w:color="auto" w:fill="auto"/>
                  <w:vAlign w:val="center"/>
                </w:tcPr>
                <w:p/>
              </w:tc>
              <w:tc>
                <w:tcPr>
                  <w:tcW w:w="4677" w:type="dxa"/>
                  <w:vMerge/>
                  <w:tcBorders>
                    <w:top w:val="nil"/>
                    <w:left w:val="nil"/>
                    <w:bottom w:val="single" w:sz="4" w:space="0" w:color="000000"/>
                    <w:right w:val="single" w:sz="4" w:space="0" w:color="000000"/>
                  </w:tcBorders>
                  <w:shd w:val="clear" w:color="auto" w:fill="auto"/>
                  <w:vAlign w:val="center"/>
                </w:tcPr>
                <w:p/>
              </w:tc>
            </w:tr>
            <w:tr>
              <w:trPr>
                <w:trHeight w:val="308"/>
              </w:trPr>
              <w:tc>
                <w:tcPr>
                  <w:tcW w:w="2687"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栏次</w:t>
                  </w:r>
                </w:p>
              </w:tc>
              <w:tc>
                <w:tcPr>
                  <w:tcW w:w="2558"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1</w:t>
                  </w:r>
                </w:p>
              </w:tc>
              <w:tc>
                <w:tcPr>
                  <w:tcW w:w="4820"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2</w:t>
                  </w:r>
                </w:p>
              </w:tc>
              <w:tc>
                <w:tcPr>
                  <w:tcW w:w="4677"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3</w:t>
                  </w:r>
                </w:p>
              </w:tc>
            </w:tr>
            <w:tr>
              <w:trPr>
                <w:trHeight w:val="308"/>
              </w:trPr>
              <w:tc>
                <w:tcPr>
                  <w:tcW w:w="2687"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2558"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48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c>
                <w:tcPr>
                  <w:tcW w:w="467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color w:val="000000"/>
                      <w:kern w:val="0"/>
                      <w:sz w:val="22"/>
                      <w:szCs w:val="22"/>
                    </w:rPr>
                  </w:pPr>
                  <w:r>
                    <w:rPr>
                      <w:rFonts w:ascii="宋体" w:cs="Arial" w:hint="eastAsia"/>
                      <w:b/>
                      <w:bCs/>
                      <w:color w:val="000000"/>
                      <w:kern w:val="0"/>
                      <w:sz w:val="22"/>
                      <w:szCs w:val="22"/>
                    </w:rPr>
                    <w:t>　</w:t>
                  </w:r>
                </w:p>
              </w:tc>
            </w:tr>
            <w:tr>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2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558"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8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67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2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558"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8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67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2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558"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8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67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2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558"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8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67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2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558"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8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67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66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02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　</w:t>
                  </w:r>
                </w:p>
              </w:tc>
              <w:tc>
                <w:tcPr>
                  <w:tcW w:w="2558"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820"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c>
                <w:tcPr>
                  <w:tcW w:w="4677"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color w:val="000000"/>
                      <w:kern w:val="0"/>
                      <w:sz w:val="22"/>
                      <w:szCs w:val="22"/>
                    </w:rPr>
                  </w:pPr>
                  <w:r>
                    <w:rPr>
                      <w:rFonts w:ascii="宋体" w:cs="Arial" w:hint="eastAsia"/>
                      <w:color w:val="000000"/>
                      <w:kern w:val="0"/>
                      <w:sz w:val="22"/>
                      <w:szCs w:val="22"/>
                    </w:rPr>
                    <w:t>　</w:t>
                  </w:r>
                </w:p>
              </w:tc>
            </w:tr>
            <w:tr>
              <w:trPr>
                <w:trHeight w:val="308"/>
              </w:trPr>
              <w:tc>
                <w:tcPr>
                  <w:tcW w:w="14742" w:type="dxa"/>
                  <w:gridSpan w:val="9"/>
                  <w:tcBorders>
                    <w:top w:val="nil"/>
                    <w:left w:val="nil"/>
                    <w:bottom w:val="nil"/>
                    <w:right w:val="nil"/>
                  </w:tcBorders>
                  <w:shd w:val="clear" w:color="auto" w:fill="auto"/>
                  <w:noWrap/>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注：本表反映部门本年度国有资本经营预算财政拨款支出情况。</w:t>
                  </w:r>
                </w:p>
              </w:tc>
            </w:tr>
          </w:tbl>
          <w:p>
            <w:pPr>
              <w:widowControl/>
              <w:jc w:val="left"/>
              <w:rPr>
                <w:rFonts w:ascii="宋体" w:cs="Arial"/>
                <w:color w:val="000000"/>
                <w:kern w:val="0"/>
                <w:sz w:val="22"/>
                <w:szCs w:val="22"/>
              </w:rPr>
            </w:pPr>
            <w:r>
              <w:rPr>
                <w:rFonts w:ascii="宋体" w:cs="Arial" w:hint="eastAsia"/>
                <w:color w:val="000000"/>
                <w:kern w:val="0"/>
                <w:sz w:val="22"/>
                <w:szCs w:val="22"/>
              </w:rPr>
              <w:t>说明：济南机场海关没有国有资本经营预算财政拨款，故本表无数据。</w:t>
            </w: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方正黑体_GBK" w:eastAsia="方正黑体_GBK" w:cs="Arial"/>
                <w:color w:val="000000"/>
                <w:kern w:val="0"/>
                <w:sz w:val="32"/>
                <w:szCs w:val="32"/>
              </w:rPr>
            </w:pPr>
          </w:p>
          <w:p>
            <w:pPr>
              <w:widowControl/>
              <w:jc w:val="center"/>
              <w:rPr>
                <w:rFonts w:ascii="宋体" w:cs="Arial"/>
                <w:color w:val="000000"/>
                <w:kern w:val="0"/>
                <w:sz w:val="30"/>
                <w:szCs w:val="30"/>
              </w:rPr>
            </w:pPr>
            <w:r>
              <w:rPr>
                <w:rFonts w:ascii="方正黑体_GBK" w:eastAsia="方正黑体_GBK" w:cs="Arial" w:hint="eastAsia"/>
                <w:color w:val="000000"/>
                <w:kern w:val="0"/>
                <w:sz w:val="32"/>
                <w:szCs w:val="32"/>
              </w:rPr>
              <w:t>财政拨款“三公”经费支出决算表</w:t>
            </w:r>
          </w:p>
        </w:tc>
      </w:tr>
      <w:tr>
        <w:trPr>
          <w:trHeight w:val="260"/>
        </w:trPr>
        <w:tc>
          <w:tcPr>
            <w:tcW w:w="937"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625"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158" w:type="dxa"/>
            <w:gridSpan w:val="3"/>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509"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268" w:type="dxa"/>
            <w:gridSpan w:val="2"/>
            <w:tcBorders>
              <w:top w:val="nil"/>
              <w:left w:val="nil"/>
              <w:bottom w:val="nil"/>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公开</w:t>
            </w:r>
            <w:r>
              <w:rPr>
                <w:rFonts w:ascii="宋体" w:cs="Arial"/>
                <w:color w:val="000000"/>
                <w:kern w:val="0"/>
                <w:sz w:val="20"/>
                <w:szCs w:val="20"/>
              </w:rPr>
              <w:t>0</w:t>
            </w:r>
            <w:r>
              <w:rPr>
                <w:rFonts w:ascii="宋体" w:cs="Arial" w:hint="eastAsia"/>
                <w:color w:val="000000"/>
                <w:kern w:val="0"/>
                <w:sz w:val="20"/>
                <w:szCs w:val="20"/>
              </w:rPr>
              <w:t>9表</w:t>
            </w:r>
          </w:p>
        </w:tc>
      </w:tr>
      <w:tr>
        <w:trPr>
          <w:trHeight w:val="260"/>
        </w:trPr>
        <w:tc>
          <w:tcPr>
            <w:tcW w:w="2328" w:type="dxa"/>
            <w:gridSpan w:val="4"/>
            <w:tcBorders>
              <w:top w:val="nil"/>
              <w:left w:val="nil"/>
              <w:bottom w:val="nil"/>
              <w:right w:val="nil"/>
            </w:tcBorders>
            <w:noWrap/>
            <w:vAlign w:val="bottom"/>
          </w:tcPr>
          <w:p>
            <w:pPr>
              <w:widowControl/>
              <w:jc w:val="left"/>
              <w:rPr>
                <w:rFonts w:ascii="宋体" w:cs="Arial"/>
                <w:color w:val="000000"/>
                <w:kern w:val="0"/>
                <w:sz w:val="20"/>
                <w:szCs w:val="20"/>
              </w:rPr>
            </w:pPr>
            <w:r>
              <w:rPr>
                <w:rFonts w:ascii="宋体" w:cs="Arial" w:hint="eastAsia"/>
                <w:color w:val="000000"/>
                <w:kern w:val="0"/>
                <w:sz w:val="20"/>
                <w:szCs w:val="20"/>
              </w:rPr>
              <w:t>部门：济南机场海关</w:t>
            </w: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625"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158" w:type="dxa"/>
            <w:gridSpan w:val="3"/>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391" w:type="dxa"/>
            <w:gridSpan w:val="2"/>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1509" w:type="dxa"/>
            <w:tcBorders>
              <w:top w:val="nil"/>
              <w:left w:val="nil"/>
              <w:bottom w:val="nil"/>
              <w:right w:val="nil"/>
            </w:tcBorders>
            <w:noWrap/>
            <w:vAlign w:val="bottom"/>
          </w:tcPr>
          <w:p>
            <w:pPr>
              <w:widowControl/>
              <w:jc w:val="left"/>
              <w:rPr>
                <w:rFonts w:ascii="Arial" w:cs="Arial" w:hAnsi="Arial"/>
                <w:color w:val="000000"/>
                <w:kern w:val="0"/>
                <w:sz w:val="20"/>
                <w:szCs w:val="20"/>
              </w:rPr>
            </w:pPr>
          </w:p>
        </w:tc>
        <w:tc>
          <w:tcPr>
            <w:tcW w:w="2268" w:type="dxa"/>
            <w:gridSpan w:val="2"/>
            <w:tcBorders>
              <w:top w:val="nil"/>
              <w:left w:val="nil"/>
              <w:bottom w:val="nil"/>
              <w:right w:val="nil"/>
            </w:tcBorders>
            <w:noWrap/>
            <w:vAlign w:val="bottom"/>
          </w:tcPr>
          <w:p>
            <w:pPr>
              <w:widowControl/>
              <w:jc w:val="right"/>
              <w:rPr>
                <w:rFonts w:ascii="宋体" w:cs="Arial"/>
                <w:color w:val="000000"/>
                <w:kern w:val="0"/>
                <w:sz w:val="20"/>
                <w:szCs w:val="20"/>
              </w:rPr>
            </w:pPr>
            <w:r>
              <w:rPr>
                <w:rFonts w:ascii="宋体" w:cs="Arial" w:hint="eastAsia"/>
                <w:color w:val="000000"/>
                <w:kern w:val="0"/>
                <w:sz w:val="20"/>
                <w:szCs w:val="20"/>
              </w:rPr>
              <w:t>金额单位：万元</w:t>
            </w:r>
          </w:p>
        </w:tc>
      </w:tr>
      <w:tr>
        <w:trPr>
          <w:trHeight w:val="314"/>
        </w:trPr>
        <w:tc>
          <w:tcPr>
            <w:tcW w:w="712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预算数</w:t>
            </w:r>
          </w:p>
        </w:tc>
        <w:tc>
          <w:tcPr>
            <w:tcW w:w="8717" w:type="dxa"/>
            <w:gridSpan w:val="10"/>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决算数</w:t>
            </w:r>
          </w:p>
        </w:tc>
      </w:tr>
      <w:tr>
        <w:trPr>
          <w:trHeight w:val="314"/>
        </w:trPr>
        <w:tc>
          <w:tcPr>
            <w:tcW w:w="876"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1251"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因公出国（境）费</w:t>
            </w:r>
          </w:p>
        </w:tc>
        <w:tc>
          <w:tcPr>
            <w:tcW w:w="3610" w:type="dxa"/>
            <w:gridSpan w:val="6"/>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公务用车购置及运行费</w:t>
            </w:r>
          </w:p>
        </w:tc>
        <w:tc>
          <w:tcPr>
            <w:tcW w:w="1389"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公务接待费</w:t>
            </w:r>
          </w:p>
        </w:tc>
        <w:tc>
          <w:tcPr>
            <w:tcW w:w="97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合计</w:t>
            </w:r>
          </w:p>
        </w:tc>
        <w:tc>
          <w:tcPr>
            <w:tcW w:w="108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因公出国（境）费</w:t>
            </w:r>
          </w:p>
        </w:tc>
        <w:tc>
          <w:tcPr>
            <w:tcW w:w="4536" w:type="dxa"/>
            <w:gridSpan w:val="7"/>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公务用车购置及运行费</w:t>
            </w:r>
          </w:p>
        </w:tc>
        <w:tc>
          <w:tcPr>
            <w:tcW w:w="2127"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公务接待费</w:t>
            </w:r>
          </w:p>
        </w:tc>
      </w:tr>
      <w:tr>
        <w:trPr>
          <w:trHeight w:val="628"/>
        </w:trPr>
        <w:tc>
          <w:tcPr>
            <w:tcW w:w="876" w:type="dxa"/>
            <w:vMerge/>
            <w:tcBorders>
              <w:top w:val="nil"/>
              <w:left w:val="single" w:sz="4" w:space="0" w:color="000000"/>
              <w:bottom w:val="single" w:sz="4" w:space="0" w:color="000000"/>
              <w:right w:val="single" w:sz="4" w:space="0" w:color="000000"/>
            </w:tcBorders>
            <w:shd w:val="clear" w:color="auto" w:fill="auto"/>
            <w:vAlign w:val="center"/>
          </w:tcPr>
          <w:p/>
        </w:tc>
        <w:tc>
          <w:tcPr>
            <w:tcW w:w="1251" w:type="dxa"/>
            <w:gridSpan w:val="2"/>
            <w:vMerge/>
            <w:tcBorders>
              <w:top w:val="nil"/>
              <w:left w:val="nil"/>
              <w:bottom w:val="single" w:sz="4" w:space="0" w:color="000000"/>
              <w:right w:val="single" w:sz="4" w:space="0" w:color="000000"/>
            </w:tcBorders>
            <w:shd w:val="clear" w:color="auto" w:fill="auto"/>
            <w:vAlign w:val="center"/>
          </w:tcPr>
          <w:p/>
        </w:tc>
        <w:tc>
          <w:tcPr>
            <w:tcW w:w="1111"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小计</w:t>
            </w:r>
          </w:p>
        </w:tc>
        <w:tc>
          <w:tcPr>
            <w:tcW w:w="1249"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公务用车购置费</w:t>
            </w:r>
          </w:p>
        </w:tc>
        <w:tc>
          <w:tcPr>
            <w:tcW w:w="1250"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公务用车运行费</w:t>
            </w:r>
          </w:p>
        </w:tc>
        <w:tc>
          <w:tcPr>
            <w:tcW w:w="1389" w:type="dxa"/>
            <w:gridSpan w:val="2"/>
            <w:vMerge/>
            <w:tcBorders>
              <w:top w:val="nil"/>
              <w:left w:val="nil"/>
              <w:bottom w:val="single" w:sz="4" w:space="0" w:color="000000"/>
              <w:right w:val="single" w:sz="4" w:space="0" w:color="000000"/>
            </w:tcBorders>
            <w:shd w:val="clear" w:color="auto" w:fill="auto"/>
            <w:vAlign w:val="center"/>
          </w:tcPr>
          <w:p/>
        </w:tc>
        <w:tc>
          <w:tcPr>
            <w:tcW w:w="972" w:type="dxa"/>
            <w:vMerge/>
            <w:tcBorders>
              <w:top w:val="nil"/>
              <w:left w:val="nil"/>
              <w:bottom w:val="single" w:sz="4" w:space="0" w:color="000000"/>
              <w:right w:val="single" w:sz="4" w:space="0" w:color="000000"/>
            </w:tcBorders>
            <w:shd w:val="clear" w:color="auto" w:fill="auto"/>
            <w:vAlign w:val="center"/>
          </w:tcPr>
          <w:p/>
        </w:tc>
        <w:tc>
          <w:tcPr>
            <w:tcW w:w="1082" w:type="dxa"/>
            <w:vMerge/>
            <w:tcBorders>
              <w:top w:val="nil"/>
              <w:left w:val="nil"/>
              <w:bottom w:val="single" w:sz="4" w:space="0" w:color="000000"/>
              <w:right w:val="single" w:sz="4" w:space="0" w:color="000000"/>
            </w:tcBorders>
            <w:shd w:val="clear" w:color="auto" w:fill="auto"/>
            <w:vAlign w:val="center"/>
          </w:tcPr>
          <w:p/>
        </w:tc>
        <w:tc>
          <w:tcPr>
            <w:tcW w:w="1417"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小计</w:t>
            </w:r>
          </w:p>
        </w:tc>
        <w:tc>
          <w:tcPr>
            <w:tcW w:w="1250"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公务用车购置费</w:t>
            </w:r>
          </w:p>
        </w:tc>
        <w:tc>
          <w:tcPr>
            <w:tcW w:w="1869" w:type="dxa"/>
            <w:gridSpan w:val="3"/>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hint="eastAsia"/>
                <w:color w:val="000000"/>
                <w:kern w:val="0"/>
                <w:sz w:val="22"/>
                <w:szCs w:val="22"/>
              </w:rPr>
              <w:t>公务用车运行费</w:t>
            </w:r>
          </w:p>
        </w:tc>
        <w:tc>
          <w:tcPr>
            <w:tcW w:w="2127" w:type="dxa"/>
            <w:vMerge/>
            <w:tcBorders>
              <w:top w:val="nil"/>
              <w:left w:val="nil"/>
              <w:bottom w:val="single" w:sz="4" w:space="0" w:color="000000"/>
              <w:right w:val="single" w:sz="4" w:space="0" w:color="000000"/>
            </w:tcBorders>
            <w:shd w:val="clear" w:color="auto" w:fill="auto"/>
            <w:vAlign w:val="center"/>
          </w:tcPr>
          <w:p/>
        </w:tc>
      </w:tr>
      <w:tr>
        <w:trPr>
          <w:trHeight w:val="314"/>
        </w:trPr>
        <w:tc>
          <w:tcPr>
            <w:tcW w:w="876" w:type="dxa"/>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1</w:t>
            </w:r>
          </w:p>
        </w:tc>
        <w:tc>
          <w:tcPr>
            <w:tcW w:w="1251"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2</w:t>
            </w:r>
          </w:p>
        </w:tc>
        <w:tc>
          <w:tcPr>
            <w:tcW w:w="1111"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3</w:t>
            </w:r>
          </w:p>
        </w:tc>
        <w:tc>
          <w:tcPr>
            <w:tcW w:w="1249"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4</w:t>
            </w:r>
          </w:p>
        </w:tc>
        <w:tc>
          <w:tcPr>
            <w:tcW w:w="1250"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5</w:t>
            </w:r>
          </w:p>
        </w:tc>
        <w:tc>
          <w:tcPr>
            <w:tcW w:w="1389"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6</w:t>
            </w:r>
          </w:p>
        </w:tc>
        <w:tc>
          <w:tcPr>
            <w:tcW w:w="972"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7</w:t>
            </w:r>
          </w:p>
        </w:tc>
        <w:tc>
          <w:tcPr>
            <w:tcW w:w="1082"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8</w:t>
            </w:r>
          </w:p>
        </w:tc>
        <w:tc>
          <w:tcPr>
            <w:tcW w:w="1417"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9</w:t>
            </w:r>
          </w:p>
        </w:tc>
        <w:tc>
          <w:tcPr>
            <w:tcW w:w="1250"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10</w:t>
            </w:r>
          </w:p>
        </w:tc>
        <w:tc>
          <w:tcPr>
            <w:tcW w:w="1869" w:type="dxa"/>
            <w:gridSpan w:val="3"/>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11</w:t>
            </w:r>
          </w:p>
        </w:tc>
        <w:tc>
          <w:tcPr>
            <w:tcW w:w="2127"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color w:val="000000"/>
                <w:kern w:val="0"/>
                <w:sz w:val="22"/>
                <w:szCs w:val="22"/>
              </w:rPr>
            </w:pPr>
            <w:r>
              <w:rPr>
                <w:rFonts w:ascii="宋体" w:cs="Arial"/>
                <w:color w:val="000000"/>
                <w:kern w:val="0"/>
                <w:sz w:val="22"/>
                <w:szCs w:val="22"/>
              </w:rPr>
              <w:t>12</w:t>
            </w:r>
          </w:p>
        </w:tc>
      </w:tr>
      <w:tr>
        <w:trPr>
          <w:trHeight w:val="314"/>
        </w:trPr>
        <w:tc>
          <w:tcPr>
            <w:tcW w:w="876" w:type="dxa"/>
            <w:tcBorders>
              <w:top w:val="nil"/>
              <w:left w:val="single" w:sz="4" w:space="0" w:color="000000"/>
              <w:bottom w:val="single" w:sz="4" w:space="0" w:color="000000"/>
              <w:right w:val="single" w:sz="4" w:space="0" w:color="000000"/>
            </w:tcBorders>
            <w:noWrap/>
            <w:vAlign w:val="center"/>
          </w:tcPr>
          <w:p>
            <w:pPr>
              <w:jc w:val="right"/>
              <w:rPr>
                <w:rFonts w:ascii="宋体" w:cs="Arial"/>
                <w:color w:val="000000"/>
                <w:sz w:val="22"/>
                <w:szCs w:val="22"/>
              </w:rPr>
            </w:pPr>
            <w:r>
              <w:rPr>
                <w:rFonts w:cs="Arial" w:hint="eastAsia"/>
                <w:color w:val="000000"/>
                <w:sz w:val="22"/>
                <w:szCs w:val="22"/>
              </w:rPr>
              <w:t>14.44</w:t>
            </w:r>
          </w:p>
        </w:tc>
        <w:tc>
          <w:tcPr>
            <w:tcW w:w="125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0.00</w:t>
            </w:r>
          </w:p>
        </w:tc>
        <w:tc>
          <w:tcPr>
            <w:tcW w:w="1111"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14.28</w:t>
            </w:r>
          </w:p>
        </w:tc>
        <w:tc>
          <w:tcPr>
            <w:tcW w:w="1249"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0.00</w:t>
            </w:r>
          </w:p>
        </w:tc>
        <w:tc>
          <w:tcPr>
            <w:tcW w:w="1250"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ascii="宋体" w:cs="Arial" w:hint="eastAsia"/>
                <w:color w:val="000000"/>
                <w:sz w:val="22"/>
                <w:szCs w:val="22"/>
              </w:rPr>
              <w:t>14.28</w:t>
            </w:r>
          </w:p>
        </w:tc>
        <w:tc>
          <w:tcPr>
            <w:tcW w:w="1389"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0.16</w:t>
            </w:r>
          </w:p>
        </w:tc>
        <w:tc>
          <w:tcPr>
            <w:tcW w:w="972"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ascii="宋体" w:cs="Arial" w:hint="eastAsia"/>
                <w:color w:val="000000"/>
                <w:sz w:val="22"/>
                <w:szCs w:val="22"/>
              </w:rPr>
              <w:t>14.28</w:t>
            </w:r>
          </w:p>
        </w:tc>
        <w:tc>
          <w:tcPr>
            <w:tcW w:w="1082"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0.00</w:t>
            </w:r>
          </w:p>
        </w:tc>
        <w:tc>
          <w:tcPr>
            <w:tcW w:w="1417"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ascii="宋体" w:cs="Arial" w:hint="eastAsia"/>
                <w:color w:val="000000"/>
                <w:sz w:val="22"/>
                <w:szCs w:val="22"/>
              </w:rPr>
              <w:t>14.28</w:t>
            </w:r>
          </w:p>
        </w:tc>
        <w:tc>
          <w:tcPr>
            <w:tcW w:w="1250" w:type="dxa"/>
            <w:gridSpan w:val="2"/>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0.00</w:t>
            </w:r>
          </w:p>
        </w:tc>
        <w:tc>
          <w:tcPr>
            <w:tcW w:w="1869" w:type="dxa"/>
            <w:gridSpan w:val="3"/>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ascii="宋体" w:cs="Arial" w:hint="eastAsia"/>
                <w:color w:val="000000"/>
                <w:sz w:val="22"/>
                <w:szCs w:val="22"/>
              </w:rPr>
              <w:t>14.28</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Arial"/>
                <w:color w:val="000000"/>
                <w:sz w:val="22"/>
                <w:szCs w:val="22"/>
              </w:rPr>
            </w:pPr>
            <w:r>
              <w:rPr>
                <w:rFonts w:cs="Arial" w:hint="eastAsia"/>
                <w:color w:val="000000"/>
                <w:sz w:val="22"/>
                <w:szCs w:val="22"/>
              </w:rPr>
              <w:t>0.00</w:t>
            </w:r>
          </w:p>
        </w:tc>
      </w:tr>
      <w:tr>
        <w:trPr>
          <w:trHeight w:val="628"/>
        </w:trPr>
        <w:tc>
          <w:tcPr>
            <w:tcW w:w="15843" w:type="dxa"/>
            <w:gridSpan w:val="21"/>
            <w:tcBorders>
              <w:top w:val="nil"/>
              <w:left w:val="nil"/>
              <w:bottom w:val="nil"/>
              <w:right w:val="nil"/>
            </w:tcBorders>
            <w:vAlign w:val="center"/>
          </w:tcPr>
          <w:p>
            <w:pPr>
              <w:widowControl/>
              <w:jc w:val="left"/>
              <w:rPr>
                <w:rFonts w:ascii="宋体" w:cs="Arial"/>
                <w:color w:val="000000"/>
                <w:kern w:val="0"/>
                <w:sz w:val="22"/>
                <w:szCs w:val="22"/>
              </w:rPr>
            </w:pPr>
            <w:r>
              <w:rPr>
                <w:rFonts w:ascii="宋体" w:cs="Arial" w:hint="eastAsia"/>
                <w:color w:val="000000"/>
                <w:kern w:val="0"/>
                <w:sz w:val="22"/>
                <w:szCs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pPr>
        <w:rPr>
          <w:b/>
          <w:sz w:val="28"/>
          <w:szCs w:val="28"/>
        </w:rPr>
        <w:sectPr>
          <w:pgSz w:w="16840" w:h="11907" w:orient="landscape"/>
          <w:pgMar w:top="1701" w:right="1440" w:bottom="1701" w:left="1440" w:header="851" w:footer="992" w:gutter="0"/>
          <w:docGrid w:linePitch="312" w:charSpace="0"/>
        </w:sect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1000" w:lineRule="exact"/>
        <w:ind w:firstLineChars="250" w:firstLine="2100"/>
        <w:jc w:val="center"/>
        <w:rPr>
          <w:rFonts w:ascii="方正黑体_GBK" w:eastAsia="方正黑体_GBK"/>
          <w:sz w:val="84"/>
          <w:szCs w:val="84"/>
        </w:rPr>
      </w:pPr>
    </w:p>
    <w:p>
      <w:pPr>
        <w:widowControl/>
        <w:autoSpaceDN w:val="0"/>
        <w:spacing w:line="1100" w:lineRule="exact"/>
        <w:ind w:firstLineChars="400" w:firstLine="3360"/>
        <w:rPr>
          <w:rFonts w:ascii="方正黑体_GBK" w:eastAsia="方正黑体_GBK"/>
          <w:sz w:val="84"/>
          <w:szCs w:val="84"/>
        </w:rPr>
      </w:pPr>
      <w:r>
        <w:rPr>
          <w:rFonts w:ascii="方正黑体_GBK" w:eastAsia="方正黑体_GBK" w:hint="eastAsia"/>
          <w:sz w:val="84"/>
          <w:szCs w:val="84"/>
        </w:rPr>
        <w:t>第三部分</w:t>
      </w:r>
    </w:p>
    <w:p>
      <w:pPr>
        <w:widowControl/>
        <w:autoSpaceDN w:val="0"/>
        <w:spacing w:line="1100" w:lineRule="exact"/>
        <w:ind w:firstLineChars="150" w:firstLine="1260"/>
        <w:rPr>
          <w:rFonts w:ascii="方正黑体_GBK" w:eastAsia="方正黑体_GBK"/>
          <w:sz w:val="84"/>
          <w:szCs w:val="84"/>
        </w:rPr>
      </w:pPr>
      <w:r>
        <w:rPr>
          <w:rFonts w:ascii="方正黑体_GBK" w:eastAsia="方正黑体_GBK"/>
          <w:sz w:val="84"/>
          <w:szCs w:val="84"/>
        </w:rPr>
        <w:t>202</w:t>
      </w:r>
      <w:r>
        <w:rPr>
          <w:rFonts w:ascii="方正黑体_GBK" w:eastAsia="方正黑体_GBK" w:hint="eastAsia"/>
          <w:sz w:val="84"/>
          <w:szCs w:val="84"/>
        </w:rPr>
        <w:t>3年度部门决算表</w:t>
      </w:r>
    </w:p>
    <w:p>
      <w:pPr>
        <w:widowControl/>
        <w:autoSpaceDN w:val="0"/>
        <w:spacing w:line="1100" w:lineRule="exact"/>
        <w:ind w:firstLineChars="400" w:firstLine="3360"/>
        <w:rPr>
          <w:rFonts w:ascii="方正黑体_GBK" w:eastAsia="方正黑体_GBK"/>
          <w:sz w:val="84"/>
          <w:szCs w:val="84"/>
        </w:rPr>
      </w:pPr>
      <w:r>
        <w:rPr>
          <w:rFonts w:ascii="方正黑体_GBK" w:eastAsia="方正黑体_GBK" w:hint="eastAsia"/>
          <w:sz w:val="84"/>
          <w:szCs w:val="84"/>
        </w:rPr>
        <w:t>情况说明</w:t>
      </w: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50" w:firstLine="800"/>
        <w:jc w:val="left"/>
        <w:rPr>
          <w:rFonts w:ascii="方正黑体_GBK" w:eastAsia="方正黑体_GBK"/>
          <w:sz w:val="32"/>
          <w:szCs w:val="32"/>
        </w:rPr>
      </w:pPr>
    </w:p>
    <w:p>
      <w:pPr>
        <w:widowControl/>
        <w:autoSpaceDN w:val="0"/>
        <w:spacing w:line="560" w:lineRule="exact"/>
        <w:ind w:firstLineChars="200" w:firstLine="640"/>
        <w:jc w:val="left"/>
        <w:rPr>
          <w:rFonts w:ascii="方正黑体_GBK" w:eastAsia="方正黑体_GBK"/>
          <w:bCs/>
          <w:sz w:val="32"/>
          <w:szCs w:val="32"/>
        </w:rPr>
      </w:pPr>
      <w:r>
        <w:rPr>
          <w:rFonts w:ascii="方正黑体_GBK" w:eastAsia="方正黑体_GBK" w:hint="eastAsia"/>
          <w:sz w:val="32"/>
          <w:szCs w:val="32"/>
        </w:rPr>
        <w:t>一、</w:t>
      </w:r>
      <w:r>
        <w:rPr>
          <w:rFonts w:ascii="方正黑体_GBK" w:eastAsia="方正黑体_GBK" w:hint="eastAsia"/>
          <w:bCs/>
          <w:sz w:val="32"/>
          <w:szCs w:val="32"/>
        </w:rPr>
        <w:t>收入支出总体情况说明</w:t>
      </w:r>
    </w:p>
    <w:p>
      <w:pPr>
        <w:autoSpaceDN w:val="0"/>
        <w:spacing w:line="560" w:lineRule="exact"/>
        <w:ind w:firstLineChars="200" w:firstLine="640"/>
        <w:rPr>
          <w:rFonts w:eastAsia="方正仿宋_GBK"/>
          <w:sz w:val="32"/>
          <w:szCs w:val="32"/>
        </w:rPr>
      </w:pPr>
      <w:r>
        <w:rPr>
          <w:rFonts w:eastAsia="方正仿宋_GBK"/>
          <w:sz w:val="32"/>
          <w:szCs w:val="32"/>
        </w:rPr>
        <w:t>202</w:t>
      </w:r>
      <w:r>
        <w:rPr>
          <w:rFonts w:eastAsia="方正仿宋_GBK" w:hint="eastAsia"/>
          <w:sz w:val="32"/>
          <w:szCs w:val="32"/>
        </w:rPr>
        <w:t>3年度收、支总计2564.75万元。与</w:t>
      </w:r>
      <w:r>
        <w:rPr>
          <w:rFonts w:eastAsia="方正仿宋_GBK"/>
          <w:sz w:val="32"/>
          <w:szCs w:val="32"/>
        </w:rPr>
        <w:t>202</w:t>
      </w:r>
      <w:r>
        <w:rPr>
          <w:rFonts w:eastAsia="方正仿宋_GBK" w:hint="eastAsia"/>
          <w:sz w:val="32"/>
          <w:szCs w:val="32"/>
        </w:rPr>
        <w:t>2年度相比，收、支总计各减少1482.57万元，下降36.63%，主要原因是一般公共预算财政拨款收入中防止境外疫情输入项目经费减少导致。</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二、收入决算情况说明</w:t>
      </w:r>
    </w:p>
    <w:p>
      <w:pPr>
        <w:autoSpaceDN w:val="0"/>
        <w:spacing w:line="560" w:lineRule="exact"/>
        <w:ind w:firstLineChars="200" w:firstLine="640"/>
      </w:pPr>
      <w:r>
        <w:rPr>
          <w:rFonts w:eastAsia="方正仿宋_GBK"/>
          <w:sz w:val="32"/>
          <w:szCs w:val="32"/>
        </w:rPr>
        <w:t>202</w:t>
      </w:r>
      <w:r>
        <w:rPr>
          <w:rFonts w:eastAsia="方正仿宋_GBK" w:hint="eastAsia"/>
          <w:sz w:val="32"/>
          <w:szCs w:val="32"/>
        </w:rPr>
        <w:t>3年度收入合计2307.43万元。其中</w:t>
      </w:r>
      <w:r>
        <w:rPr>
          <w:rFonts w:eastAsia="方正仿宋_GBK" w:hint="eastAsia"/>
          <w:b/>
          <w:bCs/>
          <w:sz w:val="32"/>
          <w:szCs w:val="32"/>
        </w:rPr>
        <w:t>：</w:t>
      </w:r>
      <w:r>
        <w:rPr>
          <w:rFonts w:eastAsia="方正仿宋_GBK" w:hint="eastAsia"/>
          <w:bCs/>
          <w:sz w:val="32"/>
          <w:szCs w:val="32"/>
        </w:rPr>
        <w:t>财政拨款收入</w:t>
      </w:r>
      <w:r>
        <w:rPr>
          <w:rFonts w:eastAsia="方正仿宋_GBK" w:hint="eastAsia"/>
          <w:sz w:val="32"/>
          <w:szCs w:val="32"/>
        </w:rPr>
        <w:t>1506.41万元，占65.29</w:t>
      </w:r>
      <w:r>
        <w:rPr>
          <w:rFonts w:eastAsia="方正仿宋_GBK"/>
          <w:sz w:val="32"/>
          <w:szCs w:val="32"/>
        </w:rPr>
        <w:t>%</w:t>
      </w:r>
      <w:r>
        <w:rPr>
          <w:rFonts w:eastAsia="方正仿宋_GBK" w:hint="eastAsia"/>
          <w:sz w:val="32"/>
          <w:szCs w:val="32"/>
        </w:rPr>
        <w:t>；</w:t>
      </w:r>
      <w:r>
        <w:rPr>
          <w:rFonts w:eastAsia="方正仿宋_GBK" w:hint="eastAsia"/>
          <w:bCs/>
          <w:sz w:val="32"/>
          <w:szCs w:val="32"/>
        </w:rPr>
        <w:t>其他收入</w:t>
      </w:r>
      <w:r>
        <w:rPr>
          <w:rFonts w:eastAsia="方正仿宋_GBK" w:hint="eastAsia"/>
          <w:sz w:val="32"/>
          <w:szCs w:val="32"/>
        </w:rPr>
        <w:t>801.02</w:t>
      </w:r>
      <w:r>
        <w:rPr>
          <w:rFonts w:eastAsia="方正仿宋_GBK" w:hint="eastAsia"/>
          <w:bCs/>
          <w:kern w:val="0"/>
          <w:sz w:val="32"/>
          <w:szCs w:val="32"/>
        </w:rPr>
        <w:t>万元，占34.71</w:t>
      </w:r>
      <w:r>
        <w:rPr>
          <w:rFonts w:eastAsia="方正仿宋_GBK"/>
          <w:bCs/>
          <w:kern w:val="0"/>
          <w:sz w:val="32"/>
          <w:szCs w:val="32"/>
        </w:rPr>
        <w:t>%</w:t>
      </w:r>
      <w:r>
        <w:rPr>
          <w:rFonts w:eastAsia="方正仿宋_GBK" w:hint="eastAsia"/>
          <w:bCs/>
          <w:kern w:val="0"/>
          <w:sz w:val="32"/>
          <w:szCs w:val="32"/>
        </w:rPr>
        <w:t>。</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三、支出决算情况说明</w:t>
      </w:r>
    </w:p>
    <w:p>
      <w:pPr>
        <w:autoSpaceDN w:val="0"/>
        <w:spacing w:line="560" w:lineRule="exact"/>
        <w:ind w:firstLineChars="200" w:firstLine="640"/>
        <w:rPr>
          <w:rFonts w:eastAsia="方正仿宋_GBK"/>
          <w:sz w:val="32"/>
          <w:szCs w:val="32"/>
        </w:rPr>
      </w:pPr>
      <w:r>
        <w:rPr>
          <w:rFonts w:eastAsia="方正仿宋_GBK"/>
          <w:sz w:val="32"/>
          <w:szCs w:val="32"/>
        </w:rPr>
        <w:t>202</w:t>
      </w:r>
      <w:r>
        <w:rPr>
          <w:rFonts w:eastAsia="方正仿宋_GBK" w:hint="eastAsia"/>
          <w:sz w:val="32"/>
          <w:szCs w:val="32"/>
        </w:rPr>
        <w:t>3年度支出合计2516.27万元，其中：基本支出2219.47万元，占88.20</w:t>
      </w:r>
      <w:r>
        <w:rPr>
          <w:rFonts w:eastAsia="方正仿宋_GBK"/>
          <w:sz w:val="32"/>
          <w:szCs w:val="32"/>
        </w:rPr>
        <w:t>%</w:t>
      </w:r>
      <w:r>
        <w:rPr>
          <w:rFonts w:eastAsia="方正仿宋_GBK" w:hint="eastAsia"/>
          <w:sz w:val="32"/>
          <w:szCs w:val="32"/>
        </w:rPr>
        <w:t>；项目支出296.80万元，占11.80</w:t>
      </w:r>
      <w:r>
        <w:rPr>
          <w:rFonts w:eastAsia="方正仿宋_GBK"/>
          <w:sz w:val="32"/>
          <w:szCs w:val="32"/>
        </w:rPr>
        <w:t>%</w:t>
      </w:r>
      <w:r>
        <w:rPr>
          <w:rFonts w:eastAsia="方正仿宋_GBK" w:hint="eastAsia"/>
          <w:sz w:val="32"/>
          <w:szCs w:val="32"/>
        </w:rPr>
        <w:t>。</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四、财政拨款收入支出决算总体情况说明</w:t>
      </w:r>
    </w:p>
    <w:p>
      <w:pPr>
        <w:autoSpaceDN w:val="0"/>
        <w:spacing w:line="560" w:lineRule="exact"/>
        <w:ind w:firstLineChars="200" w:firstLine="640"/>
        <w:rPr>
          <w:rFonts w:eastAsia="方正仿宋_GBK"/>
          <w:sz w:val="32"/>
          <w:szCs w:val="32"/>
        </w:rPr>
      </w:pPr>
      <w:r>
        <w:rPr>
          <w:rFonts w:eastAsia="方正仿宋_GBK"/>
          <w:sz w:val="32"/>
          <w:szCs w:val="32"/>
        </w:rPr>
        <w:t>202</w:t>
      </w:r>
      <w:r>
        <w:rPr>
          <w:rFonts w:eastAsia="方正仿宋_GBK" w:hint="eastAsia"/>
          <w:sz w:val="32"/>
          <w:szCs w:val="32"/>
        </w:rPr>
        <w:t>3年度财政拨款收、支总计1709.61万元。与</w:t>
      </w:r>
      <w:r>
        <w:rPr>
          <w:rFonts w:eastAsia="方正仿宋_GBK"/>
          <w:sz w:val="32"/>
          <w:szCs w:val="32"/>
        </w:rPr>
        <w:t>202</w:t>
      </w:r>
      <w:r>
        <w:rPr>
          <w:rFonts w:eastAsia="方正仿宋_GBK" w:hint="eastAsia"/>
          <w:sz w:val="32"/>
          <w:szCs w:val="32"/>
        </w:rPr>
        <w:t>2年度相比，财政拨款收、支总计各减少1447.80万元，下降45.85</w:t>
      </w:r>
      <w:r>
        <w:rPr>
          <w:rFonts w:eastAsia="方正仿宋_GBK"/>
          <w:sz w:val="32"/>
          <w:szCs w:val="32"/>
        </w:rPr>
        <w:t>%</w:t>
      </w:r>
      <w:r>
        <w:rPr>
          <w:rFonts w:eastAsia="方正仿宋_GBK" w:hint="eastAsia"/>
          <w:sz w:val="32"/>
          <w:szCs w:val="32"/>
        </w:rPr>
        <w:t>，主要是一般公共服务支出减少导致。</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五、一般公共预算财政拨款支出决算情况说明</w:t>
      </w:r>
    </w:p>
    <w:p>
      <w:pPr>
        <w:autoSpaceDN w:val="0"/>
        <w:spacing w:line="560" w:lineRule="exact"/>
        <w:ind w:firstLineChars="200" w:firstLine="640"/>
        <w:rPr>
          <w:rFonts w:ascii="方正楷体_GBK" w:eastAsia="方正楷体_GBK"/>
          <w:kern w:val="0"/>
          <w:sz w:val="32"/>
          <w:szCs w:val="32"/>
        </w:rPr>
      </w:pPr>
      <w:r>
        <w:rPr>
          <w:rFonts w:ascii="方正楷体_GBK" w:eastAsia="方正楷体_GBK" w:hint="eastAsia"/>
          <w:kern w:val="0"/>
          <w:sz w:val="32"/>
          <w:szCs w:val="32"/>
        </w:rPr>
        <w:t>（一）财政拨款支出决算总体情况。</w:t>
      </w:r>
    </w:p>
    <w:p>
      <w:pPr>
        <w:autoSpaceDN w:val="0"/>
        <w:spacing w:line="560" w:lineRule="exact"/>
        <w:ind w:firstLineChars="200" w:firstLine="640"/>
        <w:rPr>
          <w:rFonts w:eastAsia="方正仿宋_GBK"/>
          <w:sz w:val="32"/>
          <w:szCs w:val="32"/>
        </w:rPr>
      </w:pPr>
      <w:r>
        <w:rPr>
          <w:rFonts w:eastAsia="方正仿宋_GBK"/>
          <w:kern w:val="0"/>
          <w:sz w:val="32"/>
          <w:szCs w:val="32"/>
        </w:rPr>
        <w:t>202</w:t>
      </w:r>
      <w:r>
        <w:rPr>
          <w:rFonts w:eastAsia="方正仿宋_GBK" w:hint="eastAsia"/>
          <w:kern w:val="0"/>
          <w:sz w:val="32"/>
          <w:szCs w:val="32"/>
        </w:rPr>
        <w:t>3年度财政拨款支出1709.61万元，占本年支出合计的67.94</w:t>
      </w:r>
      <w:r>
        <w:rPr>
          <w:rFonts w:eastAsia="方正仿宋_GBK"/>
          <w:kern w:val="0"/>
          <w:sz w:val="32"/>
          <w:szCs w:val="32"/>
        </w:rPr>
        <w:t>%</w:t>
      </w:r>
      <w:r>
        <w:rPr>
          <w:rFonts w:eastAsia="方正仿宋_GBK" w:hint="eastAsia"/>
          <w:kern w:val="0"/>
          <w:sz w:val="32"/>
          <w:szCs w:val="32"/>
        </w:rPr>
        <w:t>。与</w:t>
      </w:r>
      <w:r>
        <w:rPr>
          <w:rFonts w:eastAsia="方正仿宋_GBK"/>
          <w:kern w:val="0"/>
          <w:sz w:val="32"/>
          <w:szCs w:val="32"/>
        </w:rPr>
        <w:t>202</w:t>
      </w:r>
      <w:r>
        <w:rPr>
          <w:rFonts w:eastAsia="方正仿宋_GBK" w:hint="eastAsia"/>
          <w:kern w:val="0"/>
          <w:sz w:val="32"/>
          <w:szCs w:val="32"/>
        </w:rPr>
        <w:t>2年度相比，财政拨款支出减少1060.80万元，下降38.29</w:t>
      </w:r>
      <w:r>
        <w:rPr>
          <w:rFonts w:eastAsia="方正仿宋_GBK"/>
          <w:kern w:val="0"/>
          <w:sz w:val="32"/>
          <w:szCs w:val="32"/>
        </w:rPr>
        <w:t>%</w:t>
      </w:r>
      <w:r>
        <w:rPr>
          <w:rFonts w:eastAsia="方正仿宋_GBK" w:hint="eastAsia"/>
          <w:kern w:val="0"/>
          <w:sz w:val="32"/>
          <w:szCs w:val="32"/>
        </w:rPr>
        <w:t>，</w:t>
      </w:r>
      <w:r>
        <w:rPr>
          <w:rFonts w:eastAsia="方正仿宋_GBK" w:hint="eastAsia"/>
          <w:sz w:val="32"/>
          <w:szCs w:val="32"/>
        </w:rPr>
        <w:t>主要是项目支出减少导致。</w:t>
      </w:r>
    </w:p>
    <w:p>
      <w:pPr>
        <w:autoSpaceDN w:val="0"/>
        <w:spacing w:line="560" w:lineRule="exact"/>
        <w:ind w:firstLineChars="200" w:firstLine="640"/>
        <w:rPr>
          <w:rFonts w:ascii="方正楷体_GBK" w:eastAsia="方正楷体_GBK"/>
          <w:kern w:val="0"/>
          <w:sz w:val="32"/>
          <w:szCs w:val="32"/>
        </w:rPr>
      </w:pPr>
      <w:r>
        <w:rPr>
          <w:rFonts w:ascii="方正楷体_GBK" w:eastAsia="方正楷体_GBK" w:hint="eastAsia"/>
          <w:kern w:val="0"/>
          <w:sz w:val="32"/>
          <w:szCs w:val="32"/>
        </w:rPr>
        <w:t>（二）财政拨款支出决算结构情况。</w:t>
      </w:r>
    </w:p>
    <w:p>
      <w:pPr>
        <w:autoSpaceDN w:val="0"/>
        <w:spacing w:line="560" w:lineRule="exact"/>
        <w:ind w:firstLineChars="200" w:firstLine="640"/>
        <w:rPr>
          <w:rFonts w:eastAsia="方正仿宋_GBK"/>
          <w:kern w:val="0"/>
          <w:sz w:val="32"/>
          <w:szCs w:val="32"/>
        </w:rPr>
      </w:pPr>
      <w:r>
        <w:rPr>
          <w:rFonts w:eastAsia="方正仿宋_GBK"/>
          <w:kern w:val="0"/>
          <w:sz w:val="32"/>
          <w:szCs w:val="32"/>
        </w:rPr>
        <w:t>20</w:t>
      </w:r>
      <w:r>
        <w:rPr>
          <w:rFonts w:eastAsia="方正仿宋_GBK" w:hint="eastAsia"/>
          <w:kern w:val="0"/>
          <w:sz w:val="32"/>
          <w:szCs w:val="32"/>
        </w:rPr>
        <w:t>23年度财政拨款支出</w:t>
      </w:r>
      <w:r>
        <w:rPr>
          <w:rFonts w:eastAsia="方正仿宋_GBK" w:hint="eastAsia"/>
          <w:sz w:val="32"/>
          <w:szCs w:val="32"/>
        </w:rPr>
        <w:t>1709.61</w:t>
      </w:r>
      <w:r>
        <w:rPr>
          <w:rFonts w:eastAsia="方正仿宋_GBK" w:hint="eastAsia"/>
          <w:kern w:val="0"/>
          <w:sz w:val="32"/>
          <w:szCs w:val="32"/>
        </w:rPr>
        <w:t>万元，主要用于以下方面：一般公共服务（类）支出</w:t>
      </w:r>
      <w:r>
        <w:rPr>
          <w:rFonts w:eastAsia="方正仿宋_GBK" w:hint="eastAsia"/>
          <w:sz w:val="32"/>
          <w:szCs w:val="32"/>
        </w:rPr>
        <w:t>1248.81</w:t>
      </w:r>
      <w:r>
        <w:rPr>
          <w:rFonts w:eastAsia="方正仿宋_GBK" w:hint="eastAsia"/>
          <w:kern w:val="0"/>
          <w:sz w:val="32"/>
          <w:szCs w:val="32"/>
        </w:rPr>
        <w:t>万元，占73.05</w:t>
      </w:r>
      <w:r>
        <w:rPr>
          <w:rFonts w:eastAsia="方正仿宋_GBK"/>
          <w:kern w:val="0"/>
          <w:sz w:val="32"/>
          <w:szCs w:val="32"/>
        </w:rPr>
        <w:t>%</w:t>
      </w:r>
      <w:r>
        <w:rPr>
          <w:rFonts w:eastAsia="方正仿宋_GBK" w:hint="eastAsia"/>
          <w:kern w:val="0"/>
          <w:sz w:val="32"/>
          <w:szCs w:val="32"/>
        </w:rPr>
        <w:t>；公共安全（类）支出</w:t>
      </w:r>
      <w:r>
        <w:rPr>
          <w:rFonts w:eastAsia="方正仿宋_GBK" w:hint="eastAsia"/>
          <w:sz w:val="32"/>
          <w:szCs w:val="32"/>
        </w:rPr>
        <w:t>49.96</w:t>
      </w:r>
      <w:r>
        <w:rPr>
          <w:rFonts w:eastAsia="方正仿宋_GBK" w:hint="eastAsia"/>
          <w:kern w:val="0"/>
          <w:sz w:val="32"/>
          <w:szCs w:val="32"/>
        </w:rPr>
        <w:t>万元，占2.92</w:t>
      </w:r>
      <w:r>
        <w:rPr>
          <w:rFonts w:eastAsia="方正仿宋_GBK"/>
          <w:kern w:val="0"/>
          <w:sz w:val="32"/>
          <w:szCs w:val="32"/>
        </w:rPr>
        <w:t>%</w:t>
      </w:r>
      <w:r>
        <w:rPr>
          <w:rFonts w:eastAsia="方正仿宋_GBK" w:hint="eastAsia"/>
          <w:kern w:val="0"/>
          <w:sz w:val="32"/>
          <w:szCs w:val="32"/>
        </w:rPr>
        <w:t>；社会保障和就业（类）支出</w:t>
      </w:r>
      <w:r>
        <w:rPr>
          <w:rFonts w:eastAsia="方正仿宋_GBK" w:hint="eastAsia"/>
          <w:sz w:val="32"/>
          <w:szCs w:val="32"/>
        </w:rPr>
        <w:t>127.50</w:t>
      </w:r>
      <w:r>
        <w:rPr>
          <w:rFonts w:eastAsia="方正仿宋_GBK" w:hint="eastAsia"/>
          <w:kern w:val="0"/>
          <w:sz w:val="32"/>
          <w:szCs w:val="32"/>
        </w:rPr>
        <w:t>万元，占7.46</w:t>
      </w:r>
      <w:r>
        <w:rPr>
          <w:rFonts w:eastAsia="方正仿宋_GBK"/>
          <w:kern w:val="0"/>
          <w:sz w:val="32"/>
          <w:szCs w:val="32"/>
        </w:rPr>
        <w:t>%</w:t>
      </w:r>
      <w:r>
        <w:rPr>
          <w:rFonts w:eastAsia="方正仿宋_GBK" w:hint="eastAsia"/>
          <w:kern w:val="0"/>
          <w:sz w:val="32"/>
          <w:szCs w:val="32"/>
        </w:rPr>
        <w:t>；卫生健康支出64.32万元，占3.76%，住房保障（类）支出</w:t>
      </w:r>
      <w:r>
        <w:rPr>
          <w:rFonts w:eastAsia="方正仿宋_GBK" w:hint="eastAsia"/>
          <w:sz w:val="32"/>
          <w:szCs w:val="32"/>
        </w:rPr>
        <w:t>219.02</w:t>
      </w:r>
      <w:r>
        <w:rPr>
          <w:rFonts w:eastAsia="方正仿宋_GBK" w:hint="eastAsia"/>
          <w:kern w:val="0"/>
          <w:sz w:val="32"/>
          <w:szCs w:val="32"/>
        </w:rPr>
        <w:t>万元，占12.81</w:t>
      </w:r>
      <w:r>
        <w:rPr>
          <w:rFonts w:eastAsia="方正仿宋_GBK"/>
          <w:kern w:val="0"/>
          <w:sz w:val="32"/>
          <w:szCs w:val="32"/>
        </w:rPr>
        <w:t>%</w:t>
      </w:r>
      <w:r>
        <w:rPr>
          <w:rFonts w:eastAsia="方正仿宋_GBK" w:hint="eastAsia"/>
          <w:kern w:val="0"/>
          <w:sz w:val="32"/>
          <w:szCs w:val="32"/>
        </w:rPr>
        <w:t>。</w:t>
      </w:r>
    </w:p>
    <w:p>
      <w:pPr>
        <w:tabs>
          <w:tab w:val="left" w:pos="4157"/>
        </w:tabs>
        <w:autoSpaceDN w:val="0"/>
        <w:spacing w:line="560" w:lineRule="exact"/>
        <w:ind w:firstLineChars="200" w:firstLine="640"/>
        <w:rPr>
          <w:rFonts w:ascii="方正楷体_GBK" w:eastAsia="方正楷体_GBK"/>
          <w:kern w:val="0"/>
          <w:sz w:val="32"/>
          <w:szCs w:val="32"/>
        </w:rPr>
      </w:pPr>
      <w:r>
        <w:rPr>
          <w:rFonts w:ascii="方正楷体_GBK" w:eastAsia="方正楷体_GBK" w:hint="eastAsia"/>
          <w:kern w:val="0"/>
          <w:sz w:val="32"/>
          <w:szCs w:val="32"/>
        </w:rPr>
        <w:t>（三）财政拨款支出决算具体情况。</w:t>
      </w:r>
    </w:p>
    <w:p>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202</w:t>
      </w:r>
      <w:r>
        <w:rPr>
          <w:rFonts w:eastAsia="方正仿宋_GBK" w:hint="eastAsia"/>
          <w:kern w:val="0"/>
          <w:sz w:val="32"/>
          <w:szCs w:val="32"/>
        </w:rPr>
        <w:t>3年度财政拨款支出年初预算为1881.85万元，支出决算为</w:t>
      </w:r>
      <w:r>
        <w:rPr>
          <w:rFonts w:eastAsia="方正仿宋_GBK" w:hint="eastAsia"/>
          <w:sz w:val="32"/>
          <w:szCs w:val="32"/>
        </w:rPr>
        <w:t>1709.61</w:t>
      </w:r>
      <w:r>
        <w:rPr>
          <w:rFonts w:eastAsia="方正仿宋_GBK" w:hint="eastAsia"/>
          <w:kern w:val="0"/>
          <w:sz w:val="32"/>
          <w:szCs w:val="32"/>
        </w:rPr>
        <w:t>万元，完成年初预算的</w:t>
      </w:r>
      <w:r>
        <w:rPr>
          <w:rFonts w:eastAsia="方正仿宋_GBK" w:hint="eastAsia"/>
          <w:sz w:val="32"/>
          <w:szCs w:val="32"/>
        </w:rPr>
        <w:t>90.85</w:t>
      </w:r>
      <w:r>
        <w:rPr>
          <w:rFonts w:eastAsia="方正仿宋_GBK"/>
          <w:kern w:val="0"/>
          <w:sz w:val="32"/>
          <w:szCs w:val="32"/>
        </w:rPr>
        <w:t>%</w:t>
      </w:r>
      <w:r>
        <w:rPr>
          <w:rFonts w:eastAsia="方正仿宋_GBK" w:hint="eastAsia"/>
          <w:kern w:val="0"/>
          <w:sz w:val="32"/>
          <w:szCs w:val="32"/>
        </w:rPr>
        <w:t>。其中：</w:t>
      </w:r>
    </w:p>
    <w:p>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hint="eastAsia"/>
          <w:bCs/>
          <w:kern w:val="0"/>
          <w:sz w:val="32"/>
          <w:szCs w:val="32"/>
        </w:rPr>
        <w:t>一般公共服务支出（类）海关事务（款）行政运行（项）</w:t>
      </w:r>
      <w:r>
        <w:rPr>
          <w:rFonts w:eastAsia="方正仿宋_GBK" w:hint="eastAsia"/>
          <w:kern w:val="0"/>
          <w:sz w:val="32"/>
          <w:szCs w:val="32"/>
        </w:rPr>
        <w:t>年初预算为940.46万元，支出决算为952.01万元，完成年初预算的101.23</w:t>
      </w:r>
      <w:r>
        <w:rPr>
          <w:rFonts w:eastAsia="方正仿宋_GBK"/>
          <w:kern w:val="0"/>
          <w:sz w:val="32"/>
          <w:szCs w:val="32"/>
        </w:rPr>
        <w:t>%</w:t>
      </w:r>
      <w:r>
        <w:rPr>
          <w:rFonts w:eastAsia="方正仿宋_GBK" w:hint="eastAsia"/>
          <w:kern w:val="0"/>
          <w:sz w:val="32"/>
          <w:szCs w:val="32"/>
        </w:rPr>
        <w:t>。决算数大于预算数的原因是年中追加调整预算。</w:t>
      </w:r>
    </w:p>
    <w:p>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hint="eastAsia"/>
          <w:bCs/>
          <w:kern w:val="0"/>
          <w:sz w:val="32"/>
          <w:szCs w:val="32"/>
        </w:rPr>
        <w:t>一般公共服务支出（类）海关事务（款）一般行政管理事务（项）</w:t>
      </w:r>
      <w:r>
        <w:rPr>
          <w:rFonts w:eastAsia="方正仿宋_GBK" w:hint="eastAsia"/>
          <w:kern w:val="0"/>
          <w:sz w:val="32"/>
          <w:szCs w:val="32"/>
        </w:rPr>
        <w:t>年初预算为12.50万元，支出决算为12.50万元，完成年初预算的</w:t>
      </w:r>
      <w:r>
        <w:rPr>
          <w:rFonts w:eastAsia="方正仿宋_GBK"/>
          <w:kern w:val="0"/>
          <w:sz w:val="32"/>
          <w:szCs w:val="32"/>
        </w:rPr>
        <w:t>100%</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3.</w:t>
      </w:r>
      <w:r>
        <w:rPr>
          <w:rFonts w:eastAsia="方正仿宋_GBK" w:hint="eastAsia"/>
          <w:bCs/>
          <w:kern w:val="0"/>
          <w:sz w:val="32"/>
          <w:szCs w:val="32"/>
        </w:rPr>
        <w:t>一般公共服务支出（类）海关事务（款）缉私办案（项）</w:t>
      </w:r>
      <w:r>
        <w:rPr>
          <w:rFonts w:eastAsia="方正仿宋_GBK" w:hint="eastAsia"/>
          <w:kern w:val="0"/>
          <w:sz w:val="32"/>
          <w:szCs w:val="32"/>
        </w:rPr>
        <w:t>年初预算为15.70万元，支出决算为15.70万元，完成年初预算的</w:t>
      </w:r>
      <w:r>
        <w:rPr>
          <w:rFonts w:eastAsia="方正仿宋_GBK"/>
          <w:kern w:val="0"/>
          <w:sz w:val="32"/>
          <w:szCs w:val="32"/>
        </w:rPr>
        <w:t>100%</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4</w:t>
      </w:r>
      <w:r>
        <w:rPr>
          <w:rFonts w:eastAsia="方正仿宋_GBK"/>
          <w:kern w:val="0"/>
          <w:sz w:val="32"/>
          <w:szCs w:val="32"/>
        </w:rPr>
        <w:t>.</w:t>
      </w:r>
      <w:r>
        <w:rPr>
          <w:rFonts w:eastAsia="方正仿宋_GBK" w:hint="eastAsia"/>
          <w:bCs/>
          <w:kern w:val="0"/>
          <w:sz w:val="32"/>
          <w:szCs w:val="32"/>
        </w:rPr>
        <w:t>一般公共服务支出（类）海关事务（款）海关关务（项）</w:t>
      </w:r>
      <w:r>
        <w:rPr>
          <w:rFonts w:eastAsia="方正仿宋_GBK" w:hint="eastAsia"/>
          <w:kern w:val="0"/>
          <w:sz w:val="32"/>
          <w:szCs w:val="32"/>
        </w:rPr>
        <w:t>年初预算为25.56万元，支出决算为25.56万元，完成年初预算的</w:t>
      </w:r>
      <w:r>
        <w:rPr>
          <w:rFonts w:eastAsia="方正仿宋_GBK"/>
          <w:kern w:val="0"/>
          <w:sz w:val="32"/>
          <w:szCs w:val="32"/>
        </w:rPr>
        <w:t>100%</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5</w:t>
      </w:r>
      <w:r>
        <w:rPr>
          <w:rFonts w:eastAsia="方正仿宋_GBK"/>
          <w:kern w:val="0"/>
          <w:sz w:val="32"/>
          <w:szCs w:val="32"/>
        </w:rPr>
        <w:t>.</w:t>
      </w:r>
      <w:r>
        <w:rPr>
          <w:rFonts w:eastAsia="方正仿宋_GBK" w:hint="eastAsia"/>
          <w:bCs/>
          <w:kern w:val="0"/>
          <w:sz w:val="32"/>
          <w:szCs w:val="32"/>
        </w:rPr>
        <w:t>一般公共服务支出（类）海关事务（款）海关监管（项）</w:t>
      </w:r>
      <w:r>
        <w:rPr>
          <w:rFonts w:eastAsia="方正仿宋_GBK" w:hint="eastAsia"/>
          <w:kern w:val="0"/>
          <w:sz w:val="32"/>
          <w:szCs w:val="32"/>
        </w:rPr>
        <w:t>年初预算为18.84万元，支出决算为18.84万元，完成年初预算的</w:t>
      </w:r>
      <w:r>
        <w:rPr>
          <w:rFonts w:eastAsia="方正仿宋_GBK"/>
          <w:kern w:val="0"/>
          <w:sz w:val="32"/>
          <w:szCs w:val="32"/>
        </w:rPr>
        <w:t>100%</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6</w:t>
      </w:r>
      <w:r>
        <w:rPr>
          <w:rFonts w:eastAsia="方正仿宋_GBK"/>
          <w:kern w:val="0"/>
          <w:sz w:val="32"/>
          <w:szCs w:val="32"/>
        </w:rPr>
        <w:t>.</w:t>
      </w:r>
      <w:r>
        <w:rPr>
          <w:rFonts w:eastAsia="方正仿宋_GBK" w:hint="eastAsia"/>
          <w:bCs/>
          <w:kern w:val="0"/>
          <w:sz w:val="32"/>
          <w:szCs w:val="32"/>
        </w:rPr>
        <w:t>一般公共服务支出（类）海关事务（款）检验检疫（项）</w:t>
      </w:r>
      <w:r>
        <w:rPr>
          <w:rFonts w:eastAsia="方正仿宋_GBK" w:hint="eastAsia"/>
          <w:kern w:val="0"/>
          <w:sz w:val="32"/>
          <w:szCs w:val="32"/>
        </w:rPr>
        <w:t>年初预算为407.99万元，支出决算为224.20万元，完成年初预算的54.95</w:t>
      </w:r>
      <w:r>
        <w:rPr>
          <w:rFonts w:eastAsia="方正仿宋_GBK"/>
          <w:kern w:val="0"/>
          <w:sz w:val="32"/>
          <w:szCs w:val="32"/>
        </w:rPr>
        <w:t>%</w:t>
      </w:r>
      <w:r>
        <w:rPr>
          <w:rFonts w:eastAsia="方正仿宋_GBK" w:hint="eastAsia"/>
          <w:kern w:val="0"/>
          <w:sz w:val="32"/>
          <w:szCs w:val="32"/>
        </w:rPr>
        <w:t>。决算数小于预算数的原因是年中预算调整。</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7</w:t>
      </w:r>
      <w:r>
        <w:rPr>
          <w:rFonts w:eastAsia="方正仿宋_GBK"/>
          <w:kern w:val="0"/>
          <w:sz w:val="32"/>
          <w:szCs w:val="32"/>
        </w:rPr>
        <w:t>.</w:t>
      </w:r>
      <w:r>
        <w:rPr>
          <w:rFonts w:eastAsia="方正仿宋_GBK" w:hint="eastAsia"/>
          <w:bCs/>
          <w:kern w:val="0"/>
          <w:sz w:val="32"/>
          <w:szCs w:val="32"/>
        </w:rPr>
        <w:t>公共安全支出（类）缉私警察（款）行政运行（项）</w:t>
      </w:r>
      <w:r>
        <w:rPr>
          <w:rFonts w:eastAsia="方正仿宋_GBK" w:hint="eastAsia"/>
          <w:kern w:val="0"/>
          <w:sz w:val="32"/>
          <w:szCs w:val="32"/>
        </w:rPr>
        <w:t>年初预算为49.96万元，支出决算为49.96万元，完成年初预算的</w:t>
      </w:r>
      <w:r>
        <w:rPr>
          <w:rFonts w:eastAsia="方正仿宋_GBK"/>
          <w:kern w:val="0"/>
          <w:sz w:val="32"/>
          <w:szCs w:val="32"/>
        </w:rPr>
        <w:t>100%</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8</w:t>
      </w:r>
      <w:r>
        <w:rPr>
          <w:rFonts w:eastAsia="方正仿宋_GBK"/>
          <w:kern w:val="0"/>
          <w:sz w:val="32"/>
          <w:szCs w:val="32"/>
        </w:rPr>
        <w:t>.</w:t>
      </w:r>
      <w:r>
        <w:rPr>
          <w:rFonts w:eastAsia="方正仿宋_GBK" w:hint="eastAsia"/>
          <w:bCs/>
          <w:kern w:val="0"/>
          <w:sz w:val="32"/>
          <w:szCs w:val="32"/>
        </w:rPr>
        <w:t>社会保障和就业支出（类）行政事业单位养老支出（款）行政单位离退休（项）</w:t>
      </w:r>
      <w:r>
        <w:rPr>
          <w:rFonts w:eastAsia="方正仿宋_GBK" w:hint="eastAsia"/>
          <w:kern w:val="0"/>
          <w:sz w:val="32"/>
          <w:szCs w:val="32"/>
        </w:rPr>
        <w:t>年初预算为0.87万元，支出决算为0.87万元，完成年初预算的</w:t>
      </w:r>
      <w:r>
        <w:rPr>
          <w:rFonts w:eastAsia="方正仿宋_GBK"/>
          <w:kern w:val="0"/>
          <w:sz w:val="32"/>
          <w:szCs w:val="32"/>
        </w:rPr>
        <w:t>100%</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9</w:t>
      </w:r>
      <w:r>
        <w:rPr>
          <w:rFonts w:eastAsia="方正仿宋_GBK"/>
          <w:kern w:val="0"/>
          <w:sz w:val="32"/>
          <w:szCs w:val="32"/>
        </w:rPr>
        <w:t>.</w:t>
      </w:r>
      <w:r>
        <w:rPr>
          <w:rFonts w:eastAsia="方正仿宋_GBK" w:hint="eastAsia"/>
          <w:bCs/>
          <w:kern w:val="0"/>
          <w:sz w:val="32"/>
          <w:szCs w:val="32"/>
        </w:rPr>
        <w:t>社会保障和就业支出（类）行政事业单位养老支出（款）机关事业单位基本养老保险缴费支出（项）</w:t>
      </w:r>
      <w:r>
        <w:rPr>
          <w:rFonts w:eastAsia="方正仿宋_GBK" w:hint="eastAsia"/>
          <w:kern w:val="0"/>
          <w:sz w:val="32"/>
          <w:szCs w:val="32"/>
        </w:rPr>
        <w:t>年初预算为84.42万元，支出决算为84.42万元，完成年初预算的100</w:t>
      </w:r>
      <w:r>
        <w:rPr>
          <w:rFonts w:eastAsia="方正仿宋_GBK"/>
          <w:kern w:val="0"/>
          <w:sz w:val="32"/>
          <w:szCs w:val="32"/>
        </w:rPr>
        <w:t>%</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hint="eastAsia"/>
          <w:kern w:val="0"/>
          <w:sz w:val="32"/>
          <w:szCs w:val="32"/>
        </w:rPr>
        <w:t>0</w:t>
      </w:r>
      <w:r>
        <w:rPr>
          <w:rFonts w:eastAsia="方正仿宋_GBK"/>
          <w:kern w:val="0"/>
          <w:sz w:val="32"/>
          <w:szCs w:val="32"/>
        </w:rPr>
        <w:t>.</w:t>
      </w:r>
      <w:r>
        <w:rPr>
          <w:rFonts w:eastAsia="方正仿宋_GBK" w:hint="eastAsia"/>
          <w:bCs/>
          <w:kern w:val="0"/>
          <w:sz w:val="32"/>
          <w:szCs w:val="32"/>
        </w:rPr>
        <w:t>社会保障和就业支出（类）行政事业单位养老支出（款）机关事业单位职业年金缴费支出（项）</w:t>
      </w:r>
      <w:r>
        <w:rPr>
          <w:rFonts w:eastAsia="方正仿宋_GBK" w:hint="eastAsia"/>
          <w:kern w:val="0"/>
          <w:sz w:val="32"/>
          <w:szCs w:val="32"/>
        </w:rPr>
        <w:t>年初预算为42.21万元，支出决算为42.21万元，完成年初预算的100</w:t>
      </w:r>
      <w:r>
        <w:rPr>
          <w:rFonts w:eastAsia="方正仿宋_GBK"/>
          <w:kern w:val="0"/>
          <w:sz w:val="32"/>
          <w:szCs w:val="32"/>
        </w:rPr>
        <w:t>%</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11.卫生健康支出（类）行政事业单位医疗（款）行政单位医疗（项）年初预算为64.32万元，支出预算为64.32万元，，完成年初预算的100%。</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12.</w:t>
      </w:r>
      <w:r>
        <w:rPr>
          <w:rFonts w:eastAsia="方正仿宋_GBK" w:hint="eastAsia"/>
          <w:bCs/>
          <w:kern w:val="0"/>
          <w:sz w:val="32"/>
          <w:szCs w:val="32"/>
        </w:rPr>
        <w:t>住房保障支出（类）住房改革支出（款）住房公积金（项）</w:t>
      </w:r>
      <w:r>
        <w:rPr>
          <w:rFonts w:eastAsia="方正仿宋_GBK" w:hint="eastAsia"/>
          <w:kern w:val="0"/>
          <w:sz w:val="32"/>
          <w:szCs w:val="32"/>
        </w:rPr>
        <w:t>年初预算为140.85万元，支出决算为140.85万元，完成年初预算的</w:t>
      </w:r>
      <w:r>
        <w:rPr>
          <w:rFonts w:eastAsia="方正仿宋_GBK"/>
          <w:kern w:val="0"/>
          <w:sz w:val="32"/>
          <w:szCs w:val="32"/>
        </w:rPr>
        <w:t>100%</w:t>
      </w:r>
      <w:r>
        <w:rPr>
          <w:rFonts w:eastAsia="方正仿宋_GBK" w:hint="eastAsia"/>
          <w:kern w:val="0"/>
          <w:sz w:val="32"/>
          <w:szCs w:val="32"/>
        </w:rPr>
        <w:t>。</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13</w:t>
      </w:r>
      <w:r>
        <w:rPr>
          <w:rFonts w:eastAsia="方正仿宋_GBK"/>
          <w:kern w:val="0"/>
          <w:sz w:val="32"/>
          <w:szCs w:val="32"/>
        </w:rPr>
        <w:t>.</w:t>
      </w:r>
      <w:r>
        <w:rPr>
          <w:rFonts w:eastAsia="方正仿宋_GBK" w:hint="eastAsia"/>
          <w:bCs/>
          <w:kern w:val="0"/>
          <w:sz w:val="32"/>
          <w:szCs w:val="32"/>
        </w:rPr>
        <w:t>住房保障支出（类）住房改革支出（款）购房补贴（项）</w:t>
      </w:r>
      <w:r>
        <w:rPr>
          <w:rFonts w:eastAsia="方正仿宋_GBK" w:hint="eastAsia"/>
          <w:kern w:val="0"/>
          <w:sz w:val="32"/>
          <w:szCs w:val="32"/>
        </w:rPr>
        <w:t>年初预算为78.17万元，支出决算为78.17万元，完成年初预算的</w:t>
      </w:r>
      <w:r>
        <w:rPr>
          <w:rFonts w:eastAsia="方正仿宋_GBK"/>
          <w:kern w:val="0"/>
          <w:sz w:val="32"/>
          <w:szCs w:val="32"/>
        </w:rPr>
        <w:t>100%</w:t>
      </w:r>
      <w:r>
        <w:rPr>
          <w:rFonts w:eastAsia="方正仿宋_GBK" w:hint="eastAsia"/>
          <w:kern w:val="0"/>
          <w:sz w:val="32"/>
          <w:szCs w:val="32"/>
        </w:rPr>
        <w:t>。</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六、一般公共预算财政拨款基本支出决算情况说明</w:t>
      </w:r>
    </w:p>
    <w:p>
      <w:pPr>
        <w:tabs>
          <w:tab w:val="left" w:pos="4157"/>
        </w:tabs>
        <w:autoSpaceDN w:val="0"/>
        <w:spacing w:line="560" w:lineRule="exact"/>
        <w:ind w:firstLineChars="200" w:firstLine="640"/>
        <w:rPr>
          <w:rFonts w:eastAsia="方正仿宋_GBK"/>
          <w:kern w:val="0"/>
          <w:sz w:val="32"/>
          <w:szCs w:val="32"/>
        </w:rPr>
      </w:pPr>
      <w:r>
        <w:rPr>
          <w:rFonts w:eastAsia="方正仿宋_GBK"/>
          <w:kern w:val="0"/>
          <w:sz w:val="32"/>
          <w:szCs w:val="32"/>
        </w:rPr>
        <w:t>202</w:t>
      </w:r>
      <w:r>
        <w:rPr>
          <w:rFonts w:eastAsia="方正仿宋_GBK" w:hint="eastAsia"/>
          <w:kern w:val="0"/>
          <w:sz w:val="32"/>
          <w:szCs w:val="32"/>
        </w:rPr>
        <w:t>3年度财政拨款基本支出1412.81万元，其中：</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人员经费1107.21万元，主要包括基本工资、津贴补贴、奖金、机关事业单位基本养老保险缴费、职业年金缴费、职工基本医疗保险缴费、住房公积金、对个人和家庭的补助、退休费、奖励金、其他对个人和家庭的补助。</w:t>
      </w:r>
    </w:p>
    <w:p>
      <w:pPr>
        <w:tabs>
          <w:tab w:val="left" w:pos="4157"/>
        </w:tabs>
        <w:autoSpaceDN w:val="0"/>
        <w:spacing w:line="560" w:lineRule="exact"/>
        <w:ind w:firstLineChars="200" w:firstLine="640"/>
        <w:rPr>
          <w:rFonts w:eastAsia="方正仿宋_GBK"/>
          <w:kern w:val="0"/>
          <w:sz w:val="32"/>
          <w:szCs w:val="32"/>
        </w:rPr>
      </w:pPr>
      <w:r>
        <w:rPr>
          <w:rFonts w:eastAsia="方正仿宋_GBK" w:hint="eastAsia"/>
          <w:kern w:val="0"/>
          <w:sz w:val="32"/>
          <w:szCs w:val="32"/>
        </w:rPr>
        <w:t>公用经费305.60万元，主要包括办公费、印刷费、手续费、水费、电费、邮电费、取暖费、物业管理费、差旅费、维修（护）费、租赁费、劳务费、工会经费、福利费、其他交通费用、其他商品和服务支出、办公设备购置。</w:t>
      </w:r>
    </w:p>
    <w:p>
      <w:pPr>
        <w:widowControl/>
        <w:autoSpaceDN w:val="0"/>
        <w:spacing w:line="560" w:lineRule="exact"/>
        <w:ind w:firstLineChars="200" w:firstLine="640"/>
        <w:jc w:val="left"/>
        <w:rPr>
          <w:rFonts w:ascii="方正楷体_GBK" w:eastAsia="方正楷体_GBK"/>
          <w:b/>
          <w:bCs/>
          <w:sz w:val="32"/>
          <w:szCs w:val="32"/>
        </w:rPr>
      </w:pPr>
      <w:r>
        <w:rPr>
          <w:rFonts w:ascii="方正黑体_GBK" w:eastAsia="方正黑体_GBK" w:hint="eastAsia"/>
          <w:sz w:val="32"/>
          <w:szCs w:val="32"/>
        </w:rPr>
        <w:t>七、一般公共预算财政拨款“三公”经费支出决算情况说明</w:t>
      </w:r>
    </w:p>
    <w:p>
      <w:pPr>
        <w:autoSpaceDN w:val="0"/>
        <w:spacing w:line="560" w:lineRule="exact"/>
        <w:ind w:firstLineChars="200" w:firstLine="640"/>
        <w:rPr>
          <w:rFonts w:ascii="方正楷体_GBK" w:eastAsia="方正楷体_GBK"/>
          <w:kern w:val="0"/>
          <w:sz w:val="32"/>
          <w:szCs w:val="32"/>
        </w:rPr>
      </w:pPr>
      <w:r>
        <w:rPr>
          <w:rFonts w:ascii="方正楷体_GBK" w:eastAsia="方正楷体_GBK" w:hint="eastAsia"/>
          <w:kern w:val="0"/>
          <w:sz w:val="32"/>
          <w:szCs w:val="32"/>
        </w:rPr>
        <w:t>（一）</w:t>
      </w:r>
      <w:r>
        <w:rPr>
          <w:rFonts w:ascii="方正楷体_GBK" w:eastAsia="方正楷体_GBK" w:hint="eastAsia"/>
          <w:bCs/>
          <w:kern w:val="0"/>
          <w:sz w:val="32"/>
          <w:szCs w:val="32"/>
        </w:rPr>
        <w:t>“三</w:t>
      </w:r>
      <w:r>
        <w:rPr>
          <w:rFonts w:ascii="方正楷体_GBK" w:eastAsia="方正楷体_GBK" w:hint="eastAsia"/>
          <w:kern w:val="0"/>
          <w:sz w:val="32"/>
          <w:szCs w:val="32"/>
        </w:rPr>
        <w:t>公”经费财政拨款支出决算总体情况说明。</w:t>
      </w:r>
    </w:p>
    <w:p>
      <w:pPr>
        <w:autoSpaceDN w:val="0"/>
        <w:spacing w:line="560" w:lineRule="exact"/>
        <w:ind w:firstLineChars="200" w:firstLine="640"/>
        <w:rPr>
          <w:rFonts w:eastAsia="方正仿宋_GBK"/>
          <w:kern w:val="0"/>
          <w:sz w:val="32"/>
          <w:szCs w:val="32"/>
        </w:rPr>
      </w:pPr>
      <w:r>
        <w:rPr>
          <w:rFonts w:eastAsia="方正仿宋_GBK"/>
          <w:kern w:val="0"/>
          <w:sz w:val="32"/>
          <w:szCs w:val="32"/>
        </w:rPr>
        <w:t>202</w:t>
      </w:r>
      <w:r>
        <w:rPr>
          <w:rFonts w:eastAsia="方正仿宋_GBK" w:hint="eastAsia"/>
          <w:kern w:val="0"/>
          <w:sz w:val="32"/>
          <w:szCs w:val="32"/>
        </w:rPr>
        <w:t>3年度“三公”经费财政拨款支出预算为14.44万元，支出决算为14.28万元，完成预算的98.89</w:t>
      </w:r>
      <w:r>
        <w:rPr>
          <w:rFonts w:eastAsia="方正仿宋_GBK"/>
          <w:kern w:val="0"/>
          <w:sz w:val="32"/>
          <w:szCs w:val="32"/>
        </w:rPr>
        <w:t>%</w:t>
      </w:r>
      <w:r>
        <w:rPr>
          <w:rFonts w:eastAsia="方正仿宋_GBK" w:hint="eastAsia"/>
          <w:kern w:val="0"/>
          <w:sz w:val="32"/>
          <w:szCs w:val="32"/>
        </w:rPr>
        <w:t>。决算数小于预算数的主要原因是公务接待费支出减少。</w:t>
      </w:r>
    </w:p>
    <w:p>
      <w:pPr>
        <w:autoSpaceDN w:val="0"/>
        <w:spacing w:line="560" w:lineRule="exact"/>
        <w:ind w:firstLineChars="200" w:firstLine="640"/>
        <w:rPr>
          <w:rFonts w:ascii="方正楷体_GBK" w:eastAsia="方正楷体_GBK"/>
          <w:kern w:val="0"/>
          <w:sz w:val="32"/>
          <w:szCs w:val="32"/>
        </w:rPr>
      </w:pPr>
      <w:r>
        <w:rPr>
          <w:rFonts w:ascii="方正楷体_GBK" w:eastAsia="方正楷体_GBK" w:hint="eastAsia"/>
          <w:kern w:val="0"/>
          <w:sz w:val="32"/>
          <w:szCs w:val="32"/>
        </w:rPr>
        <w:t>（二）</w:t>
      </w:r>
      <w:r>
        <w:rPr>
          <w:rFonts w:ascii="方正楷体_GBK" w:eastAsia="方正楷体_GBK" w:hint="eastAsia"/>
          <w:bCs/>
          <w:kern w:val="0"/>
          <w:sz w:val="32"/>
          <w:szCs w:val="32"/>
        </w:rPr>
        <w:t>“三</w:t>
      </w:r>
      <w:r>
        <w:rPr>
          <w:rFonts w:ascii="方正楷体_GBK" w:eastAsia="方正楷体_GBK" w:hint="eastAsia"/>
          <w:kern w:val="0"/>
          <w:sz w:val="32"/>
          <w:szCs w:val="32"/>
        </w:rPr>
        <w:t>公”经费财政拨款支出决算具体情况说明。</w:t>
      </w:r>
    </w:p>
    <w:p>
      <w:pPr>
        <w:autoSpaceDN w:val="0"/>
        <w:spacing w:line="560" w:lineRule="exact"/>
        <w:ind w:firstLineChars="200" w:firstLine="640"/>
        <w:rPr>
          <w:rFonts w:eastAsia="方正仿宋_GBK"/>
          <w:kern w:val="0"/>
          <w:sz w:val="32"/>
          <w:szCs w:val="32"/>
        </w:rPr>
      </w:pPr>
      <w:r>
        <w:rPr>
          <w:rFonts w:eastAsia="方正仿宋_GBK"/>
          <w:kern w:val="0"/>
          <w:sz w:val="32"/>
          <w:szCs w:val="32"/>
        </w:rPr>
        <w:t>1.</w:t>
      </w:r>
      <w:r>
        <w:rPr>
          <w:rFonts w:eastAsia="方正仿宋_GBK" w:hint="eastAsia"/>
          <w:kern w:val="0"/>
          <w:sz w:val="32"/>
          <w:szCs w:val="32"/>
        </w:rPr>
        <w:t>因公出国（境）费预算为</w:t>
      </w:r>
      <w:r>
        <w:rPr>
          <w:rFonts w:eastAsia="方正仿宋_GBK"/>
          <w:kern w:val="0"/>
          <w:sz w:val="32"/>
          <w:szCs w:val="32"/>
        </w:rPr>
        <w:t>0</w:t>
      </w:r>
      <w:r>
        <w:rPr>
          <w:rFonts w:eastAsia="方正仿宋_GBK" w:hint="eastAsia"/>
          <w:kern w:val="0"/>
          <w:sz w:val="32"/>
          <w:szCs w:val="32"/>
        </w:rPr>
        <w:t>，支出决算为</w:t>
      </w:r>
      <w:r>
        <w:rPr>
          <w:rFonts w:eastAsia="方正仿宋_GBK"/>
          <w:kern w:val="0"/>
          <w:sz w:val="32"/>
          <w:szCs w:val="32"/>
        </w:rPr>
        <w:t>0</w:t>
      </w:r>
      <w:r>
        <w:rPr>
          <w:rFonts w:eastAsia="方正仿宋_GBK" w:hint="eastAsia"/>
          <w:kern w:val="0"/>
          <w:sz w:val="32"/>
          <w:szCs w:val="32"/>
        </w:rPr>
        <w:t>，主要原因是受新冠疫情影响无因公出国活动。</w:t>
      </w:r>
      <w:r>
        <w:rPr>
          <w:rFonts w:eastAsia="方正仿宋_GBK"/>
          <w:kern w:val="0"/>
          <w:sz w:val="32"/>
          <w:szCs w:val="32"/>
        </w:rPr>
        <w:t xml:space="preserve">    </w:t>
      </w:r>
    </w:p>
    <w:p>
      <w:pPr>
        <w:autoSpaceDN w:val="0"/>
        <w:spacing w:line="560" w:lineRule="exact"/>
        <w:ind w:firstLineChars="200" w:firstLine="640"/>
        <w:rPr>
          <w:rFonts w:eastAsia="方正仿宋_GBK"/>
          <w:kern w:val="0"/>
          <w:sz w:val="32"/>
          <w:szCs w:val="32"/>
        </w:rPr>
      </w:pPr>
      <w:r>
        <w:rPr>
          <w:rFonts w:eastAsia="方正仿宋_GBK"/>
          <w:kern w:val="0"/>
          <w:sz w:val="32"/>
          <w:szCs w:val="32"/>
        </w:rPr>
        <w:t>2.</w:t>
      </w:r>
      <w:r>
        <w:rPr>
          <w:rFonts w:eastAsia="方正仿宋_GBK" w:hint="eastAsia"/>
          <w:kern w:val="0"/>
          <w:sz w:val="32"/>
          <w:szCs w:val="32"/>
        </w:rPr>
        <w:t>公务用车购置及运行费预算为14.28万元，支出决算为14.28万元。</w:t>
      </w:r>
    </w:p>
    <w:p>
      <w:pPr>
        <w:autoSpaceDN w:val="0"/>
        <w:spacing w:line="560" w:lineRule="exact"/>
        <w:ind w:firstLineChars="200" w:firstLine="640"/>
        <w:rPr>
          <w:rFonts w:eastAsia="方正仿宋_GBK"/>
          <w:sz w:val="32"/>
          <w:szCs w:val="32"/>
        </w:rPr>
      </w:pPr>
      <w:r>
        <w:rPr>
          <w:rFonts w:eastAsia="方正仿宋_GBK" w:hint="eastAsia"/>
          <w:b/>
          <w:sz w:val="32"/>
          <w:szCs w:val="32"/>
        </w:rPr>
        <w:t>公务用车运行维护费</w:t>
      </w:r>
      <w:r>
        <w:rPr>
          <w:rFonts w:eastAsia="方正仿宋_GBK" w:hint="eastAsia"/>
          <w:sz w:val="32"/>
          <w:szCs w:val="32"/>
        </w:rPr>
        <w:t>包括</w:t>
      </w:r>
      <w:r>
        <w:rPr>
          <w:rFonts w:ascii="方正仿宋_GBK" w:eastAsia="方正仿宋_GBK" w:hint="eastAsia"/>
          <w:kern w:val="0"/>
          <w:sz w:val="32"/>
          <w:szCs w:val="32"/>
        </w:rPr>
        <w:t>济南机场</w:t>
      </w:r>
      <w:r>
        <w:rPr>
          <w:rFonts w:eastAsia="方正仿宋_GBK" w:hint="eastAsia"/>
          <w:kern w:val="0"/>
          <w:sz w:val="32"/>
          <w:szCs w:val="32"/>
        </w:rPr>
        <w:t>海关</w:t>
      </w:r>
      <w:r>
        <w:rPr>
          <w:rFonts w:eastAsia="方正仿宋_GBK" w:hint="eastAsia"/>
          <w:sz w:val="32"/>
          <w:szCs w:val="32"/>
        </w:rPr>
        <w:t>按规定保留的公务用车车辆燃料费、维修费、过桥过路费、保险费、安全奖励费用等支出。</w:t>
      </w:r>
    </w:p>
    <w:p>
      <w:pPr>
        <w:autoSpaceDN w:val="0"/>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公务接待费预算为0.16万元，支出决算为0。</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八、机关运行经费支出说明</w:t>
      </w:r>
    </w:p>
    <w:p>
      <w:pPr>
        <w:autoSpaceDN w:val="0"/>
        <w:spacing w:line="560" w:lineRule="exact"/>
        <w:ind w:firstLineChars="200" w:firstLine="640"/>
        <w:rPr>
          <w:rFonts w:eastAsia="方正仿宋_GBK"/>
          <w:sz w:val="32"/>
          <w:szCs w:val="32"/>
        </w:rPr>
      </w:pPr>
      <w:r>
        <w:rPr>
          <w:rFonts w:eastAsia="方正仿宋_GBK" w:hint="eastAsia"/>
          <w:sz w:val="32"/>
          <w:szCs w:val="32"/>
        </w:rPr>
        <w:t>济南机场海关</w:t>
      </w:r>
      <w:r>
        <w:rPr>
          <w:rFonts w:eastAsia="方正仿宋_GBK"/>
          <w:sz w:val="32"/>
          <w:szCs w:val="32"/>
        </w:rPr>
        <w:t>202</w:t>
      </w:r>
      <w:r>
        <w:rPr>
          <w:rFonts w:eastAsia="方正仿宋_GBK" w:hint="eastAsia"/>
          <w:sz w:val="32"/>
          <w:szCs w:val="32"/>
        </w:rPr>
        <w:t>3年度机关运行经费支出305.60万元，比</w:t>
      </w:r>
      <w:r>
        <w:rPr>
          <w:rFonts w:eastAsia="方正仿宋_GBK"/>
          <w:sz w:val="32"/>
          <w:szCs w:val="32"/>
        </w:rPr>
        <w:t>202</w:t>
      </w:r>
      <w:r>
        <w:rPr>
          <w:rFonts w:eastAsia="方正仿宋_GBK" w:hint="eastAsia"/>
          <w:sz w:val="32"/>
          <w:szCs w:val="32"/>
        </w:rPr>
        <w:t>2年减少6.70万元，下降2.15</w:t>
      </w:r>
      <w:r>
        <w:rPr>
          <w:rFonts w:eastAsia="方正仿宋_GBK"/>
          <w:sz w:val="32"/>
          <w:szCs w:val="32"/>
        </w:rPr>
        <w:t>%</w:t>
      </w:r>
      <w:r>
        <w:rPr>
          <w:rFonts w:eastAsia="方正仿宋_GBK" w:hint="eastAsia"/>
          <w:sz w:val="32"/>
          <w:szCs w:val="32"/>
        </w:rPr>
        <w:t>，主要原因是实有人数减少导致。</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九、政府采购支出说明</w:t>
      </w:r>
    </w:p>
    <w:p>
      <w:pPr>
        <w:spacing w:line="560" w:lineRule="exact"/>
        <w:ind w:firstLineChars="200" w:firstLine="640"/>
        <w:rPr>
          <w:rFonts w:eastAsia="方正仿宋_GBK"/>
          <w:sz w:val="32"/>
          <w:szCs w:val="32"/>
        </w:rPr>
      </w:pPr>
      <w:r>
        <w:rPr>
          <w:rFonts w:eastAsia="方正仿宋_GBK" w:hint="eastAsia"/>
          <w:sz w:val="32"/>
          <w:szCs w:val="32"/>
        </w:rPr>
        <w:t>济南机场海关</w:t>
      </w:r>
      <w:r>
        <w:rPr>
          <w:rFonts w:eastAsia="方正仿宋_GBK"/>
          <w:sz w:val="32"/>
          <w:szCs w:val="32"/>
        </w:rPr>
        <w:t>202</w:t>
      </w:r>
      <w:r>
        <w:rPr>
          <w:rFonts w:eastAsia="方正仿宋_GBK" w:hint="eastAsia"/>
          <w:sz w:val="32"/>
          <w:szCs w:val="32"/>
        </w:rPr>
        <w:t>3年度政府采购支出总额10万元，其中：政府采购货物支出10万元。</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十、国有资产占用情况说明</w:t>
      </w:r>
    </w:p>
    <w:p>
      <w:pPr>
        <w:autoSpaceDN w:val="0"/>
        <w:spacing w:line="560" w:lineRule="exact"/>
        <w:ind w:firstLineChars="200" w:firstLine="640"/>
        <w:rPr>
          <w:rFonts w:eastAsia="方正仿宋_GBK"/>
          <w:sz w:val="32"/>
          <w:szCs w:val="32"/>
        </w:rPr>
      </w:pPr>
      <w:r>
        <w:rPr>
          <w:rFonts w:eastAsia="方正仿宋_GBK" w:hint="eastAsia"/>
          <w:sz w:val="32"/>
          <w:szCs w:val="32"/>
        </w:rPr>
        <w:t>截至</w:t>
      </w:r>
      <w:r>
        <w:rPr>
          <w:rFonts w:eastAsia="方正仿宋_GBK"/>
          <w:sz w:val="32"/>
          <w:szCs w:val="32"/>
        </w:rPr>
        <w:t>202</w:t>
      </w:r>
      <w:r>
        <w:rPr>
          <w:rFonts w:eastAsia="方正仿宋_GBK" w:hint="eastAsia"/>
          <w:sz w:val="32"/>
          <w:szCs w:val="32"/>
        </w:rPr>
        <w:t>3年</w:t>
      </w:r>
      <w:r>
        <w:rPr>
          <w:rFonts w:eastAsia="方正仿宋_GBK"/>
          <w:sz w:val="32"/>
          <w:szCs w:val="32"/>
        </w:rPr>
        <w:t>12</w:t>
      </w:r>
      <w:r>
        <w:rPr>
          <w:rFonts w:eastAsia="方正仿宋_GBK" w:hint="eastAsia"/>
          <w:sz w:val="32"/>
          <w:szCs w:val="32"/>
        </w:rPr>
        <w:t>月</w:t>
      </w:r>
      <w:r>
        <w:rPr>
          <w:rFonts w:eastAsia="方正仿宋_GBK"/>
          <w:sz w:val="32"/>
          <w:szCs w:val="32"/>
        </w:rPr>
        <w:t>31</w:t>
      </w:r>
      <w:r>
        <w:rPr>
          <w:rFonts w:eastAsia="方正仿宋_GBK" w:hint="eastAsia"/>
          <w:sz w:val="32"/>
          <w:szCs w:val="32"/>
        </w:rPr>
        <w:t>日，单价</w:t>
      </w:r>
      <w:r>
        <w:rPr>
          <w:rFonts w:eastAsia="方正仿宋_GBK"/>
          <w:sz w:val="32"/>
          <w:szCs w:val="32"/>
        </w:rPr>
        <w:t>100</w:t>
      </w:r>
      <w:r>
        <w:rPr>
          <w:rFonts w:eastAsia="方正仿宋_GBK" w:hint="eastAsia"/>
          <w:sz w:val="32"/>
          <w:szCs w:val="32"/>
        </w:rPr>
        <w:t>万元（含）以上的专用设备1台（套）。</w:t>
      </w:r>
    </w:p>
    <w:p>
      <w:pPr>
        <w:widowControl/>
        <w:autoSpaceDN w:val="0"/>
        <w:spacing w:line="560" w:lineRule="exact"/>
        <w:ind w:firstLineChars="200" w:firstLine="640"/>
        <w:jc w:val="left"/>
        <w:rPr>
          <w:rFonts w:ascii="方正黑体_GBK" w:eastAsia="方正黑体_GBK"/>
          <w:sz w:val="32"/>
          <w:szCs w:val="32"/>
        </w:rPr>
      </w:pPr>
      <w:r>
        <w:rPr>
          <w:rFonts w:ascii="方正黑体_GBK" w:eastAsia="方正黑体_GBK" w:hint="eastAsia"/>
          <w:sz w:val="32"/>
          <w:szCs w:val="32"/>
        </w:rPr>
        <w:t>十一、预算绩效情况说明</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根据预算绩效管理工作要求，我关组织对</w:t>
      </w:r>
      <w:r>
        <w:rPr>
          <w:rFonts w:eastAsia="方正仿宋_GBK"/>
          <w:kern w:val="0"/>
          <w:sz w:val="32"/>
          <w:szCs w:val="32"/>
        </w:rPr>
        <w:t>202</w:t>
      </w:r>
      <w:r>
        <w:rPr>
          <w:rFonts w:eastAsia="方正仿宋_GBK" w:hint="eastAsia"/>
          <w:kern w:val="0"/>
          <w:sz w:val="32"/>
          <w:szCs w:val="32"/>
        </w:rPr>
        <w:t>3年度一般公共预算项目支出全面开展绩效自评，其中，一级项目6个，二级项目9个，共涉及资金296.8万元，占一般公共预算项目支出总额的</w:t>
      </w:r>
      <w:r>
        <w:rPr>
          <w:rFonts w:eastAsia="方正仿宋_GBK"/>
          <w:kern w:val="0"/>
          <w:sz w:val="32"/>
          <w:szCs w:val="32"/>
        </w:rPr>
        <w:t>100%</w:t>
      </w:r>
      <w:r>
        <w:rPr>
          <w:rFonts w:eastAsia="方正仿宋_GBK" w:hint="eastAsia"/>
          <w:kern w:val="0"/>
          <w:sz w:val="32"/>
          <w:szCs w:val="32"/>
        </w:rPr>
        <w:t>。自评总分在90分（含90分）的二级项目一共9个。总体自评结果良好</w:t>
      </w: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560" w:lineRule="exact"/>
        <w:ind w:firstLineChars="200" w:firstLine="640"/>
        <w:rPr>
          <w:rFonts w:eastAsia="方正仿宋_GBK"/>
          <w:kern w:val="0"/>
          <w:sz w:val="32"/>
          <w:szCs w:val="32"/>
        </w:rPr>
      </w:pPr>
    </w:p>
    <w:p>
      <w:pPr>
        <w:autoSpaceDN w:val="0"/>
        <w:spacing w:line="1100" w:lineRule="exact"/>
        <w:ind w:firstLineChars="150" w:firstLine="1260"/>
        <w:rPr>
          <w:rFonts w:ascii="方正黑体_GBK" w:eastAsia="方正黑体_GBK"/>
          <w:sz w:val="84"/>
          <w:szCs w:val="84"/>
        </w:rPr>
      </w:pPr>
      <w:r>
        <w:rPr>
          <w:rFonts w:ascii="方正黑体_GBK" w:eastAsia="方正黑体_GBK" w:hint="eastAsia"/>
          <w:sz w:val="84"/>
          <w:szCs w:val="84"/>
        </w:rPr>
        <w:t>第四部分</w:t>
      </w:r>
      <w:r>
        <w:rPr>
          <w:rFonts w:ascii="方正黑体_GBK" w:eastAsia="方正黑体_GBK"/>
          <w:sz w:val="84"/>
          <w:szCs w:val="84"/>
        </w:rPr>
        <w:t xml:space="preserve"> </w:t>
      </w:r>
      <w:r>
        <w:rPr>
          <w:rFonts w:ascii="方正黑体_GBK" w:eastAsia="方正黑体_GBK" w:hint="eastAsia"/>
          <w:sz w:val="84"/>
          <w:szCs w:val="84"/>
        </w:rPr>
        <w:t>名词解释</w:t>
      </w:r>
    </w:p>
    <w:p>
      <w:pPr>
        <w:autoSpaceDN w:val="0"/>
        <w:spacing w:line="110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黑体_GBK"/>
          <w:sz w:val="32"/>
          <w:szCs w:val="32"/>
        </w:rPr>
      </w:pP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一、一般公共预算财政拨款收入：</w:t>
      </w:r>
      <w:r>
        <w:rPr>
          <w:rFonts w:eastAsia="方正仿宋_GBK" w:hint="eastAsia"/>
          <w:sz w:val="32"/>
          <w:szCs w:val="32"/>
        </w:rPr>
        <w:t>指中央财政当年拨付的资金。</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二、事业收入：</w:t>
      </w:r>
      <w:r>
        <w:rPr>
          <w:rFonts w:eastAsia="方正仿宋_GBK" w:hint="eastAsia"/>
          <w:sz w:val="32"/>
          <w:szCs w:val="32"/>
        </w:rPr>
        <w:t>指事业单位开展专业业务活动及辅助活动所取得的收入。</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三、经营收入：</w:t>
      </w:r>
      <w:r>
        <w:rPr>
          <w:rFonts w:eastAsia="方正仿宋_GBK" w:hint="eastAsia"/>
          <w:sz w:val="32"/>
          <w:szCs w:val="32"/>
        </w:rPr>
        <w:t>指事业单位在专业业务活动及其辅助活动之外开展非独立核算经营活动取得的收入。</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四、其他收入：</w:t>
      </w:r>
      <w:r>
        <w:rPr>
          <w:rFonts w:eastAsia="方正仿宋_GBK" w:hint="eastAsia"/>
          <w:sz w:val="32"/>
          <w:szCs w:val="32"/>
        </w:rPr>
        <w:t>指除上述一般公共预算财政拨款收入、事业收入、事业单位经营收入等以外的收入。主要是非同级财政拨款收入、存款利息收入等。</w:t>
      </w:r>
    </w:p>
    <w:p>
      <w:pPr>
        <w:autoSpaceDN w:val="0"/>
        <w:spacing w:line="560" w:lineRule="exact"/>
        <w:ind w:firstLineChars="200" w:firstLine="640"/>
        <w:rPr>
          <w:rFonts w:eastAsia="方正仿宋_GBK"/>
          <w:b/>
          <w:bCs/>
          <w:sz w:val="32"/>
          <w:szCs w:val="32"/>
        </w:rPr>
      </w:pPr>
      <w:r>
        <w:rPr>
          <w:rFonts w:ascii="方正仿宋_GBK" w:eastAsia="方正仿宋_GBK" w:hint="eastAsia"/>
          <w:b/>
          <w:bCs/>
          <w:sz w:val="32"/>
          <w:szCs w:val="32"/>
        </w:rPr>
        <w:t>五、使用非财政拨款结余：</w:t>
      </w:r>
      <w:r>
        <w:rPr>
          <w:rFonts w:eastAsia="方正仿宋_GBK" w:hint="eastAsia"/>
          <w:sz w:val="32"/>
          <w:szCs w:val="32"/>
        </w:rPr>
        <w:t>指事业单位使用以前年度积累的非财政拨款结余弥补当年收支差额的金额。</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六、年初结转和结余：</w:t>
      </w:r>
      <w:r>
        <w:rPr>
          <w:rFonts w:eastAsia="方正仿宋_GBK" w:hint="eastAsia"/>
          <w:sz w:val="32"/>
          <w:szCs w:val="32"/>
        </w:rPr>
        <w:t>指单位以前年度尚未完成、结转到本年仍按原规定用途继续使用的资金，或项目已完成等产生的结余资金。</w:t>
      </w:r>
    </w:p>
    <w:p>
      <w:pPr>
        <w:autoSpaceDN w:val="0"/>
        <w:spacing w:line="560" w:lineRule="exact"/>
        <w:ind w:firstLineChars="200" w:firstLine="640"/>
      </w:pPr>
      <w:r>
        <w:rPr>
          <w:rFonts w:ascii="方正仿宋_GBK" w:eastAsia="方正仿宋_GBK" w:hint="eastAsia"/>
          <w:b/>
          <w:bCs/>
          <w:sz w:val="32"/>
          <w:szCs w:val="32"/>
        </w:rPr>
        <w:t>七、一般公共服务（类）海关事务（款）：</w:t>
      </w:r>
      <w:r>
        <w:rPr>
          <w:rFonts w:eastAsia="方正仿宋_GBK" w:hint="eastAsia"/>
          <w:sz w:val="32"/>
          <w:szCs w:val="32"/>
        </w:rPr>
        <w:t>反映海关用于系统行政和事业单位的基本支出及完成专项业务工作的项目支出。</w:t>
      </w:r>
    </w:p>
    <w:p>
      <w:pPr>
        <w:autoSpaceDN w:val="0"/>
        <w:spacing w:line="560" w:lineRule="exact"/>
        <w:ind w:firstLineChars="200" w:firstLine="640"/>
        <w:rPr>
          <w:rFonts w:eastAsia="方正仿宋_GBK"/>
          <w:b/>
          <w:bCs/>
          <w:sz w:val="32"/>
          <w:szCs w:val="32"/>
        </w:rPr>
      </w:pPr>
      <w:r>
        <w:rPr>
          <w:rFonts w:eastAsia="方正仿宋_GBK" w:hint="eastAsia"/>
          <w:b/>
          <w:bCs/>
          <w:sz w:val="32"/>
          <w:szCs w:val="32"/>
        </w:rPr>
        <w:t>行政运行（项）</w:t>
      </w:r>
      <w:r>
        <w:rPr>
          <w:rFonts w:eastAsia="方正仿宋_GBK" w:hint="eastAsia"/>
          <w:sz w:val="32"/>
          <w:szCs w:val="32"/>
        </w:rPr>
        <w:t>反映海关系统（包括参照公务员管理的事业单位）的基本支出。</w:t>
      </w:r>
    </w:p>
    <w:p>
      <w:pPr>
        <w:autoSpaceDN w:val="0"/>
        <w:spacing w:line="560" w:lineRule="exact"/>
        <w:ind w:firstLineChars="200" w:firstLine="640"/>
        <w:rPr>
          <w:rFonts w:eastAsia="方正仿宋_GBK"/>
          <w:b/>
          <w:bCs/>
          <w:sz w:val="32"/>
          <w:szCs w:val="32"/>
        </w:rPr>
      </w:pPr>
      <w:r>
        <w:rPr>
          <w:rFonts w:eastAsia="方正仿宋_GBK" w:hint="eastAsia"/>
          <w:b/>
          <w:bCs/>
          <w:sz w:val="32"/>
          <w:szCs w:val="32"/>
        </w:rPr>
        <w:t>一般行政管理事务（项）</w:t>
      </w:r>
      <w:r>
        <w:rPr>
          <w:rFonts w:eastAsia="方正仿宋_GBK" w:hint="eastAsia"/>
          <w:sz w:val="32"/>
          <w:szCs w:val="32"/>
        </w:rPr>
        <w:t>反映海关系统（包括参照公务员管理的事业单位）未单独设置项级科目的其他项目支出。</w:t>
      </w:r>
    </w:p>
    <w:p>
      <w:pPr>
        <w:autoSpaceDN w:val="0"/>
        <w:spacing w:line="560" w:lineRule="exact"/>
        <w:ind w:firstLineChars="200" w:firstLine="640"/>
      </w:pPr>
      <w:r>
        <w:rPr>
          <w:rFonts w:eastAsia="方正仿宋_GBK" w:hint="eastAsia"/>
          <w:b/>
          <w:bCs/>
          <w:sz w:val="32"/>
          <w:szCs w:val="32"/>
        </w:rPr>
        <w:t>机关服务（项）</w:t>
      </w:r>
      <w:r>
        <w:rPr>
          <w:rFonts w:eastAsia="方正仿宋_GBK" w:hint="eastAsia"/>
          <w:sz w:val="32"/>
          <w:szCs w:val="32"/>
        </w:rPr>
        <w:t>反映海关系统为行政单位（包括参照公务员管理的事业单位）提供后勤服务的各类后勤服务中心等附属事业单位的支出。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缉私办案（项）</w:t>
      </w:r>
      <w:r>
        <w:rPr>
          <w:rFonts w:eastAsia="方正仿宋_GBK" w:hint="eastAsia"/>
          <w:sz w:val="32"/>
          <w:szCs w:val="32"/>
        </w:rPr>
        <w:t>反映海关系统用于缉私办案方面的支出。</w:t>
      </w:r>
    </w:p>
    <w:p>
      <w:pPr>
        <w:autoSpaceDN w:val="0"/>
        <w:spacing w:line="560" w:lineRule="exact"/>
        <w:ind w:firstLineChars="200" w:firstLine="640"/>
      </w:pPr>
      <w:r>
        <w:rPr>
          <w:rFonts w:eastAsia="方正仿宋_GBK" w:hint="eastAsia"/>
          <w:b/>
          <w:bCs/>
          <w:sz w:val="32"/>
          <w:szCs w:val="32"/>
        </w:rPr>
        <w:t>口岸管理（项）</w:t>
      </w:r>
      <w:r>
        <w:rPr>
          <w:rFonts w:eastAsia="方正仿宋_GBK" w:hint="eastAsia"/>
          <w:sz w:val="32"/>
          <w:szCs w:val="32"/>
        </w:rPr>
        <w:t>反映口岸工作经费及中国电子口岸建设运维支出。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信息化建设（项）</w:t>
      </w:r>
      <w:r>
        <w:rPr>
          <w:rFonts w:eastAsia="方正仿宋_GBK" w:hint="eastAsia"/>
          <w:sz w:val="32"/>
          <w:szCs w:val="32"/>
        </w:rPr>
        <w:t>反映海关系统用于海关科技信息化建设、海关信息系统运行维护等方面的支出。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海关关务（项）：</w:t>
      </w:r>
      <w:r>
        <w:rPr>
          <w:rFonts w:eastAsia="方正仿宋_GBK" w:hint="eastAsia"/>
          <w:sz w:val="32"/>
          <w:szCs w:val="32"/>
        </w:rPr>
        <w:t>反映海关现场综合业务费、基本建设和资产运行维护方面的支出。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关税征管（项）：</w:t>
      </w:r>
      <w:r>
        <w:rPr>
          <w:rFonts w:eastAsia="方正仿宋_GBK" w:hint="eastAsia"/>
          <w:sz w:val="32"/>
          <w:szCs w:val="32"/>
        </w:rPr>
        <w:t>反映海关系统用于海关关税征管业务的支出。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海关监管（项）：</w:t>
      </w:r>
      <w:r>
        <w:rPr>
          <w:rFonts w:eastAsia="方正仿宋_GBK" w:hint="eastAsia"/>
          <w:sz w:val="32"/>
          <w:szCs w:val="32"/>
        </w:rPr>
        <w:t>反映海关系统用于海关监管查验技术设备购建及运维的支出。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检验检疫（项）：</w:t>
      </w:r>
      <w:r>
        <w:rPr>
          <w:rFonts w:eastAsia="方正仿宋_GBK" w:hint="eastAsia"/>
          <w:sz w:val="32"/>
          <w:szCs w:val="32"/>
        </w:rPr>
        <w:t>反映海关系统用于检验检疫执法保障及能力提升、检验检疫安全监管、认证认可监督管理支出。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事业运行（项）</w:t>
      </w:r>
      <w:r>
        <w:rPr>
          <w:rFonts w:eastAsia="方正仿宋_GBK" w:hint="eastAsia"/>
          <w:sz w:val="32"/>
          <w:szCs w:val="32"/>
        </w:rPr>
        <w:t>反映海关事业单位的基本支出，不包括行政单位（包括参照公务员管理的事业单位）后勤服务中心等附属事业单位。</w:t>
      </w:r>
    </w:p>
    <w:p>
      <w:pPr>
        <w:autoSpaceDN w:val="0"/>
        <w:spacing w:line="560" w:lineRule="exact"/>
        <w:ind w:firstLineChars="200" w:firstLine="640"/>
        <w:rPr>
          <w:rFonts w:eastAsia="方正仿宋_GBK"/>
          <w:sz w:val="32"/>
          <w:szCs w:val="32"/>
        </w:rPr>
      </w:pPr>
      <w:r>
        <w:rPr>
          <w:rFonts w:eastAsia="方正仿宋_GBK" w:hint="eastAsia"/>
          <w:b/>
          <w:bCs/>
          <w:sz w:val="32"/>
          <w:szCs w:val="32"/>
        </w:rPr>
        <w:t>其他海关事务支出（项）</w:t>
      </w:r>
      <w:r>
        <w:rPr>
          <w:rFonts w:eastAsia="方正仿宋_GBK" w:hint="eastAsia"/>
          <w:sz w:val="32"/>
          <w:szCs w:val="32"/>
        </w:rPr>
        <w:t>反映除上述项目以外其他海关事务方面的支出。</w:t>
      </w:r>
    </w:p>
    <w:p>
      <w:pPr>
        <w:autoSpaceDN w:val="0"/>
        <w:spacing w:line="560" w:lineRule="exact"/>
        <w:ind w:firstLineChars="200" w:firstLine="640"/>
        <w:rPr>
          <w:rFonts w:ascii="方正楷体_GBK" w:eastAsia="方正楷体_GBK"/>
          <w:b/>
          <w:bCs/>
          <w:sz w:val="32"/>
          <w:szCs w:val="32"/>
        </w:rPr>
      </w:pPr>
      <w:r>
        <w:rPr>
          <w:rFonts w:ascii="方正仿宋_GBK" w:eastAsia="方正仿宋_GBK" w:hint="eastAsia"/>
          <w:b/>
          <w:bCs/>
          <w:sz w:val="32"/>
          <w:szCs w:val="32"/>
        </w:rPr>
        <w:t>八、一般公共服务（类）人力资源事务（款）政府特殊津贴（项）：</w:t>
      </w:r>
      <w:r>
        <w:rPr>
          <w:rFonts w:eastAsia="方正仿宋_GBK" w:hint="eastAsia"/>
          <w:sz w:val="32"/>
          <w:szCs w:val="32"/>
        </w:rPr>
        <w:t>反映海关与政府特殊津贴相关的支出。</w:t>
      </w:r>
    </w:p>
    <w:p>
      <w:pPr>
        <w:autoSpaceDN w:val="0"/>
        <w:spacing w:line="560" w:lineRule="exact"/>
        <w:ind w:firstLineChars="200" w:firstLine="640"/>
        <w:rPr>
          <w:rFonts w:ascii="方正仿宋_GBK" w:eastAsia="方正仿宋_GBK"/>
          <w:b/>
          <w:sz w:val="32"/>
          <w:szCs w:val="32"/>
        </w:rPr>
      </w:pPr>
      <w:r>
        <w:rPr>
          <w:rFonts w:ascii="方正仿宋_GBK" w:eastAsia="方正仿宋_GBK" w:hint="eastAsia"/>
          <w:b/>
          <w:bCs/>
          <w:sz w:val="32"/>
          <w:szCs w:val="32"/>
        </w:rPr>
        <w:t>九、一般公共服务（类）纪检监察事务（款）派驻派出机构（项）：</w:t>
      </w:r>
      <w:r>
        <w:rPr>
          <w:rFonts w:eastAsia="方正仿宋_GBK" w:hint="eastAsia"/>
          <w:sz w:val="32"/>
          <w:szCs w:val="32"/>
        </w:rPr>
        <w:t>反映中央纪委国家监委驻海关总署开展工作的专项业务支出。</w:t>
      </w:r>
    </w:p>
    <w:p>
      <w:pPr>
        <w:autoSpaceDN w:val="0"/>
        <w:spacing w:line="560" w:lineRule="exact"/>
        <w:ind w:firstLineChars="200" w:firstLine="640"/>
        <w:rPr>
          <w:rFonts w:ascii="方正楷体_GBK" w:eastAsia="方正楷体_GBK"/>
          <w:b/>
          <w:bCs/>
          <w:sz w:val="32"/>
          <w:szCs w:val="32"/>
        </w:rPr>
      </w:pPr>
      <w:r>
        <w:rPr>
          <w:rFonts w:ascii="方正仿宋_GBK" w:eastAsia="方正仿宋_GBK" w:hint="eastAsia"/>
          <w:b/>
          <w:bCs/>
          <w:sz w:val="32"/>
          <w:szCs w:val="32"/>
        </w:rPr>
        <w:t>十、外交支出（类）对外援助（款）对外援助（项）：</w:t>
      </w:r>
      <w:r>
        <w:rPr>
          <w:rFonts w:eastAsia="方正仿宋_GBK" w:hint="eastAsia"/>
          <w:sz w:val="32"/>
          <w:szCs w:val="32"/>
        </w:rPr>
        <w:t>反映海关对外国政府（地区）提供的各种援助和技术合作支出。</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十一、外交支出（类）国际组织（款）国际组织会费（项）：</w:t>
      </w:r>
      <w:r>
        <w:rPr>
          <w:rFonts w:eastAsia="方正仿宋_GBK" w:hint="eastAsia"/>
          <w:sz w:val="32"/>
          <w:szCs w:val="32"/>
        </w:rPr>
        <w:t>反映海关经批准参加国际组织，按国际组织规定缴纳的会费。</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十二、外交支出（类）国际组织（款）国际组织捐赠（项）：</w:t>
      </w:r>
      <w:r>
        <w:rPr>
          <w:rFonts w:eastAsia="方正仿宋_GBK" w:hint="eastAsia"/>
          <w:sz w:val="32"/>
          <w:szCs w:val="32"/>
        </w:rPr>
        <w:t>反映以我国政府或海关总署名义，向国际组织的认捐、救灾、馈赠等支出。</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pPr>
        <w:autoSpaceDN w:val="0"/>
        <w:spacing w:line="560" w:lineRule="exact"/>
        <w:ind w:firstLineChars="200" w:firstLine="640"/>
      </w:pPr>
      <w:r>
        <w:rPr>
          <w:rFonts w:ascii="方正仿宋_GBK"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pPr>
        <w:autoSpaceDN w:val="0"/>
        <w:spacing w:line="560" w:lineRule="exact"/>
        <w:ind w:firstLineChars="200" w:firstLine="640"/>
        <w:rPr>
          <w:rFonts w:eastAsia="方正仿宋_GBK"/>
          <w:b/>
          <w:bCs/>
          <w:sz w:val="32"/>
          <w:szCs w:val="32"/>
        </w:rPr>
      </w:pPr>
      <w:r>
        <w:rPr>
          <w:rFonts w:ascii="方正仿宋_GBK"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十六、社会保障和就业支出（类）行政事业单位养老支出（款）：</w:t>
      </w:r>
      <w:r>
        <w:rPr>
          <w:rFonts w:eastAsia="方正仿宋_GBK" w:hint="eastAsia"/>
          <w:sz w:val="32"/>
          <w:szCs w:val="32"/>
        </w:rPr>
        <w:t>反映用于海关行政事业单位离退休方面的支出。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行政单位离退休（项）：</w:t>
      </w:r>
      <w:r>
        <w:rPr>
          <w:rFonts w:eastAsia="方正仿宋_GBK" w:hint="eastAsia"/>
          <w:sz w:val="32"/>
          <w:szCs w:val="32"/>
        </w:rPr>
        <w:t>反映海关系统行政单位（包括参照公务员管理的事业单位）开支的离退休支出。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事业单位离退休（项）：</w:t>
      </w:r>
      <w:r>
        <w:rPr>
          <w:rFonts w:eastAsia="方正仿宋_GBK" w:hint="eastAsia"/>
          <w:sz w:val="32"/>
          <w:szCs w:val="32"/>
        </w:rPr>
        <w:t>反映海关系统事业单位开支的离退休经费。</w:t>
      </w:r>
    </w:p>
    <w:p>
      <w:pPr>
        <w:autoSpaceDN w:val="0"/>
        <w:spacing w:line="560" w:lineRule="exact"/>
        <w:ind w:firstLineChars="200" w:firstLine="640"/>
        <w:rPr>
          <w:rFonts w:eastAsia="方正仿宋_GBK"/>
          <w:sz w:val="32"/>
          <w:szCs w:val="32"/>
        </w:rPr>
      </w:pPr>
      <w:r>
        <w:rPr>
          <w:rFonts w:eastAsia="方正仿宋_GBK" w:hint="eastAsia"/>
          <w:b/>
          <w:bCs/>
          <w:sz w:val="32"/>
          <w:szCs w:val="32"/>
        </w:rPr>
        <w:t>离退休人员管理机构（项）：</w:t>
      </w:r>
      <w:r>
        <w:rPr>
          <w:rFonts w:eastAsia="方正仿宋_GBK" w:hint="eastAsia"/>
          <w:sz w:val="32"/>
          <w:szCs w:val="32"/>
        </w:rPr>
        <w:t>反映海关系统为离退休人员提供管理服务的离退休管理机构的支出。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机关事业单位基本养老保险缴费支出（项）：</w:t>
      </w:r>
      <w:r>
        <w:rPr>
          <w:rFonts w:eastAsia="方正仿宋_GBK" w:hint="eastAsia"/>
          <w:sz w:val="32"/>
          <w:szCs w:val="32"/>
        </w:rPr>
        <w:t>反映已参加当地社保的在职人员的基本养老保险支出。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机关事业单位职业年金缴费支出（项）：</w:t>
      </w:r>
      <w:r>
        <w:rPr>
          <w:rFonts w:eastAsia="方正仿宋_GBK" w:hint="eastAsia"/>
          <w:sz w:val="32"/>
          <w:szCs w:val="32"/>
        </w:rPr>
        <w:t>反映已参加当地社保的在职人员的职业年金支出。</w:t>
      </w:r>
    </w:p>
    <w:p>
      <w:pPr>
        <w:autoSpaceDN w:val="0"/>
        <w:spacing w:line="560" w:lineRule="exact"/>
        <w:ind w:firstLineChars="147" w:firstLine="470"/>
        <w:rPr>
          <w:rFonts w:eastAsia="方正仿宋_GBK"/>
          <w:sz w:val="32"/>
          <w:szCs w:val="32"/>
        </w:rPr>
      </w:pPr>
      <w:r>
        <w:rPr>
          <w:rFonts w:ascii="方正仿宋_GBK" w:eastAsia="方正仿宋_GBK" w:hint="eastAsia"/>
          <w:b/>
          <w:bCs/>
          <w:sz w:val="32"/>
          <w:szCs w:val="32"/>
        </w:rPr>
        <w:t>十七、卫生健康支出（类）行政事业单位医疗（款）：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autoSpaceDN w:val="0"/>
        <w:spacing w:line="560" w:lineRule="exact"/>
        <w:ind w:firstLineChars="200" w:firstLine="640"/>
        <w:rPr>
          <w:rFonts w:eastAsia="方正仿宋_GBK"/>
          <w:sz w:val="32"/>
          <w:szCs w:val="32"/>
        </w:rPr>
      </w:pPr>
      <w:r>
        <w:rPr>
          <w:rFonts w:eastAsia="方正仿宋_GBK" w:hint="eastAsia"/>
          <w:b/>
          <w:bCs/>
          <w:sz w:val="32"/>
          <w:szCs w:val="32"/>
        </w:rPr>
        <w:t>行政单位医疗（项）：</w:t>
      </w:r>
      <w:r>
        <w:rPr>
          <w:rFonts w:eastAsia="方正仿宋_GBK" w:hint="eastAsia"/>
          <w:sz w:val="32"/>
          <w:szCs w:val="32"/>
        </w:rPr>
        <w:t>指中央财政集中安排的驻各地海关单位基本医疗保险缴费经费。</w:t>
      </w:r>
    </w:p>
    <w:p>
      <w:pPr>
        <w:autoSpaceDN w:val="0"/>
        <w:spacing w:line="560" w:lineRule="exact"/>
        <w:ind w:firstLineChars="200" w:firstLine="640"/>
      </w:pPr>
      <w:r>
        <w:rPr>
          <w:rFonts w:eastAsia="方正仿宋_GBK" w:hint="eastAsia"/>
          <w:b/>
          <w:bCs/>
          <w:sz w:val="32"/>
          <w:szCs w:val="32"/>
        </w:rPr>
        <w:t>公务员医疗补助（项）：</w:t>
      </w:r>
      <w:r>
        <w:rPr>
          <w:rFonts w:eastAsia="方正仿宋_GBK" w:hint="eastAsia"/>
          <w:sz w:val="32"/>
          <w:szCs w:val="32"/>
        </w:rPr>
        <w:t>指中央财政集中安排的驻各地海关单位公务员医疗补助经费。</w:t>
      </w:r>
    </w:p>
    <w:p>
      <w:pPr>
        <w:autoSpaceDN w:val="0"/>
        <w:spacing w:line="560" w:lineRule="exact"/>
        <w:ind w:firstLineChars="200" w:firstLine="640"/>
        <w:rPr>
          <w:rFonts w:eastAsia="方正仿宋_GBK"/>
          <w:sz w:val="32"/>
          <w:szCs w:val="32"/>
        </w:rPr>
      </w:pPr>
      <w:r>
        <w:rPr>
          <w:rFonts w:ascii="方正仿宋_GBK"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autoSpaceDN w:val="0"/>
        <w:spacing w:line="560" w:lineRule="exact"/>
        <w:ind w:firstLineChars="200" w:firstLine="640"/>
        <w:rPr>
          <w:rFonts w:eastAsia="方正仿宋_GBK"/>
          <w:sz w:val="32"/>
          <w:szCs w:val="32"/>
        </w:rPr>
      </w:pPr>
      <w:r>
        <w:rPr>
          <w:rFonts w:eastAsia="方正仿宋_GBK" w:hint="eastAsia"/>
          <w:b/>
          <w:bCs/>
          <w:sz w:val="32"/>
          <w:szCs w:val="32"/>
        </w:rPr>
        <w:t>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sz w:val="32"/>
          <w:szCs w:val="32"/>
        </w:rPr>
        <w:t>5</w:t>
      </w:r>
      <w:r>
        <w:rPr>
          <w:rFonts w:eastAsia="方正仿宋_GBK" w:hint="eastAsia"/>
          <w:sz w:val="32"/>
          <w:szCs w:val="32"/>
        </w:rPr>
        <w:t>％，最高不超过</w:t>
      </w:r>
      <w:r>
        <w:rPr>
          <w:rFonts w:eastAsia="方正仿宋_GBK"/>
          <w:sz w:val="32"/>
          <w:szCs w:val="32"/>
        </w:rPr>
        <w:t>12</w:t>
      </w:r>
      <w:r>
        <w:rPr>
          <w:rFonts w:eastAsia="方正仿宋_GBK" w:hint="eastAsia"/>
          <w:sz w:val="32"/>
          <w:szCs w:val="32"/>
        </w:rPr>
        <w:t>％，缴存基数为职工本人上年工资，目前已实施近</w:t>
      </w:r>
      <w:r>
        <w:rPr>
          <w:rFonts w:eastAsia="方正仿宋_GBK"/>
          <w:sz w:val="32"/>
          <w:szCs w:val="32"/>
        </w:rPr>
        <w:t>20</w:t>
      </w:r>
      <w:r>
        <w:rPr>
          <w:rFonts w:eastAsia="方正仿宋_GBK"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autoSpaceDN w:val="0"/>
        <w:spacing w:line="560" w:lineRule="exact"/>
        <w:ind w:firstLineChars="200" w:firstLine="640"/>
        <w:rPr>
          <w:rFonts w:eastAsia="方正仿宋_GBK"/>
          <w:sz w:val="32"/>
          <w:szCs w:val="32"/>
        </w:rPr>
      </w:pPr>
      <w:r>
        <w:rPr>
          <w:rFonts w:eastAsia="方正仿宋_GBK" w:hint="eastAsia"/>
          <w:b/>
          <w:bCs/>
          <w:sz w:val="32"/>
          <w:szCs w:val="32"/>
        </w:rPr>
        <w:t>提租补贴（项）：</w:t>
      </w:r>
      <w:r>
        <w:rPr>
          <w:rFonts w:eastAsia="方正仿宋_GBK" w:hint="eastAsia"/>
          <w:sz w:val="32"/>
          <w:szCs w:val="32"/>
        </w:rPr>
        <w:t>提租补贴是经国务院批准，于</w:t>
      </w:r>
      <w:r>
        <w:rPr>
          <w:rFonts w:eastAsia="方正仿宋_GBK"/>
          <w:sz w:val="32"/>
          <w:szCs w:val="32"/>
        </w:rPr>
        <w:t>2000</w:t>
      </w:r>
      <w:r>
        <w:rPr>
          <w:rFonts w:eastAsia="方正仿宋_GBK" w:hint="eastAsia"/>
          <w:sz w:val="32"/>
          <w:szCs w:val="32"/>
        </w:rPr>
        <w:t>年开始针对在京中央单位公有住房租金标准提高发放的补贴，中央在京单位按照在职在编职工人数和离退休人数以及相应职级的补贴标准确定，人均月补贴</w:t>
      </w:r>
      <w:r>
        <w:rPr>
          <w:rFonts w:eastAsia="方正仿宋_GBK"/>
          <w:sz w:val="32"/>
          <w:szCs w:val="32"/>
        </w:rPr>
        <w:t>90</w:t>
      </w:r>
      <w:r>
        <w:rPr>
          <w:rFonts w:eastAsia="方正仿宋_GBK" w:hint="eastAsia"/>
          <w:sz w:val="32"/>
          <w:szCs w:val="32"/>
        </w:rPr>
        <w:t>元。</w:t>
      </w:r>
    </w:p>
    <w:p>
      <w:pPr>
        <w:autoSpaceDN w:val="0"/>
        <w:spacing w:line="560" w:lineRule="exact"/>
        <w:ind w:firstLineChars="200" w:firstLine="640"/>
      </w:pPr>
      <w:r>
        <w:rPr>
          <w:rFonts w:eastAsia="方正仿宋_GBK" w:hint="eastAsia"/>
          <w:b/>
          <w:bCs/>
          <w:sz w:val="32"/>
          <w:szCs w:val="32"/>
        </w:rPr>
        <w:t>购房补贴（项）：</w:t>
      </w:r>
      <w:r>
        <w:rPr>
          <w:rFonts w:eastAsia="方正仿宋_GBK" w:hint="eastAsia"/>
          <w:sz w:val="32"/>
          <w:szCs w:val="32"/>
        </w:rPr>
        <w:t>购房补贴是根据《国务院关于进一步深化城镇住房制度改革加快住房建设的通知》（国发</w:t>
      </w:r>
      <w:r>
        <w:rPr>
          <w:rFonts w:eastAsia="方正仿宋_GBK" w:hint="eastAsia"/>
          <w:bCs/>
          <w:sz w:val="32"/>
          <w:szCs w:val="32"/>
        </w:rPr>
        <w:t>〔</w:t>
      </w:r>
      <w:r>
        <w:rPr>
          <w:rFonts w:eastAsia="方正仿宋_GBK"/>
          <w:sz w:val="32"/>
          <w:szCs w:val="32"/>
        </w:rPr>
        <w:t>1998</w:t>
      </w:r>
      <w:r>
        <w:rPr>
          <w:rFonts w:eastAsia="方正仿宋_GBK" w:hint="eastAsia"/>
          <w:bCs/>
          <w:sz w:val="32"/>
          <w:szCs w:val="32"/>
        </w:rPr>
        <w:t>〕</w:t>
      </w:r>
      <w:r>
        <w:rPr>
          <w:rFonts w:eastAsia="方正仿宋_GBK"/>
          <w:sz w:val="32"/>
          <w:szCs w:val="32"/>
        </w:rPr>
        <w:t>23</w:t>
      </w:r>
      <w:r>
        <w:rPr>
          <w:rFonts w:eastAsia="方正仿宋_GBK" w:hint="eastAsia"/>
          <w:sz w:val="32"/>
          <w:szCs w:val="32"/>
        </w:rPr>
        <w:t>号）的规定，从</w:t>
      </w:r>
      <w:r>
        <w:rPr>
          <w:rFonts w:eastAsia="方正仿宋_GBK"/>
          <w:sz w:val="32"/>
          <w:szCs w:val="32"/>
        </w:rPr>
        <w:t>1998</w:t>
      </w:r>
      <w:r>
        <w:rPr>
          <w:rFonts w:eastAsia="方正仿宋_GBK" w:hint="eastAsia"/>
          <w:sz w:val="32"/>
          <w:szCs w:val="32"/>
        </w:rPr>
        <w:t>年下半年停止实物分房后，房价收入比超过</w:t>
      </w:r>
      <w:r>
        <w:rPr>
          <w:rFonts w:eastAsia="方正仿宋_GBK"/>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sz w:val="32"/>
          <w:szCs w:val="32"/>
        </w:rPr>
        <w:t>2000</w:t>
      </w:r>
      <w:r>
        <w:rPr>
          <w:rFonts w:eastAsia="方正仿宋_GBK" w:hint="eastAsia"/>
          <w:sz w:val="32"/>
          <w:szCs w:val="32"/>
        </w:rPr>
        <w:t>年开始发放购房补贴资金，地方行政事业单位从</w:t>
      </w:r>
      <w:r>
        <w:rPr>
          <w:rFonts w:eastAsia="方正仿宋_GBK"/>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eastAsia="方正仿宋_GBK"/>
          <w:sz w:val="32"/>
          <w:szCs w:val="32"/>
        </w:rPr>
        <w:t>&lt;</w:t>
      </w:r>
      <w:r>
        <w:rPr>
          <w:rFonts w:eastAsia="方正仿宋_GBK" w:hint="eastAsia"/>
          <w:sz w:val="32"/>
          <w:szCs w:val="32"/>
        </w:rPr>
        <w:t>关于完善在京中央和国家机关住房制度的若干意见</w:t>
      </w:r>
      <w:r>
        <w:rPr>
          <w:rFonts w:eastAsia="方正仿宋_GBK"/>
          <w:sz w:val="32"/>
          <w:szCs w:val="32"/>
        </w:rPr>
        <w:t>&gt;</w:t>
      </w:r>
      <w:r>
        <w:rPr>
          <w:rFonts w:eastAsia="方正仿宋_GBK" w:hint="eastAsia"/>
          <w:sz w:val="32"/>
          <w:szCs w:val="32"/>
        </w:rPr>
        <w:t>的通知》（厅字</w:t>
      </w:r>
      <w:r>
        <w:rPr>
          <w:rFonts w:eastAsia="方正仿宋_GBK" w:hint="eastAsia"/>
          <w:bCs/>
          <w:sz w:val="32"/>
          <w:szCs w:val="32"/>
        </w:rPr>
        <w:t>〔</w:t>
      </w:r>
      <w:r>
        <w:rPr>
          <w:rFonts w:eastAsia="方正仿宋_GBK"/>
          <w:bCs/>
          <w:sz w:val="32"/>
          <w:szCs w:val="32"/>
        </w:rPr>
        <w:t>2005</w:t>
      </w:r>
      <w:r>
        <w:rPr>
          <w:rFonts w:eastAsia="方正仿宋_GBK" w:hint="eastAsia"/>
          <w:bCs/>
          <w:sz w:val="32"/>
          <w:szCs w:val="32"/>
        </w:rPr>
        <w:t>〕</w:t>
      </w:r>
      <w:r>
        <w:rPr>
          <w:rFonts w:eastAsia="方正仿宋_GBK"/>
          <w:sz w:val="32"/>
          <w:szCs w:val="32"/>
        </w:rPr>
        <w:t>8</w:t>
      </w:r>
      <w:r>
        <w:rPr>
          <w:rFonts w:eastAsia="方正仿宋_GBK" w:hint="eastAsia"/>
          <w:sz w:val="32"/>
          <w:szCs w:val="32"/>
        </w:rPr>
        <w:t>号）规定的标准执行，京外中央单位按照所在地人民政府住房分配货币化改革的政策规定和标准执行。</w:t>
      </w:r>
    </w:p>
    <w:p>
      <w:pPr>
        <w:autoSpaceDE w:val="0"/>
        <w:autoSpaceDN w:val="0"/>
        <w:adjustRightInd w:val="0"/>
        <w:spacing w:line="560" w:lineRule="exact"/>
        <w:ind w:firstLineChars="224" w:firstLine="717"/>
        <w:rPr>
          <w:rFonts w:eastAsia="方正仿宋_GBK"/>
          <w:kern w:val="0"/>
          <w:sz w:val="32"/>
          <w:szCs w:val="32"/>
        </w:rPr>
      </w:pPr>
      <w:r>
        <w:rPr>
          <w:rFonts w:ascii="方正仿宋_GBK" w:eastAsia="方正仿宋_GBK" w:hint="eastAsia"/>
          <w:b/>
          <w:bCs/>
          <w:sz w:val="32"/>
          <w:szCs w:val="32"/>
        </w:rPr>
        <w:t>十九、结余分配：</w:t>
      </w:r>
      <w:r>
        <w:rPr>
          <w:rFonts w:eastAsia="方正仿宋_GBK" w:hint="eastAsia"/>
          <w:sz w:val="32"/>
          <w:szCs w:val="32"/>
        </w:rPr>
        <w:t>指事业单位按照政府会计制度的规定缴纳的所得税、提取的专用结余以及转入非财政拨款结余的金额等。</w:t>
      </w:r>
    </w:p>
    <w:p>
      <w:pPr>
        <w:pStyle w:val="54"/>
        <w:spacing w:line="560" w:lineRule="exact"/>
        <w:ind w:firstLineChars="224" w:firstLine="717"/>
        <w:jc w:val="both"/>
        <w:rPr>
          <w:rFonts w:eastAsia="方正仿宋_GBK"/>
          <w:color w:val="auto"/>
          <w:kern w:val="2"/>
          <w:sz w:val="32"/>
          <w:szCs w:val="32"/>
        </w:rPr>
      </w:pPr>
      <w:r>
        <w:rPr>
          <w:rFonts w:ascii="方正仿宋_GBK" w:eastAsia="方正仿宋_GBK" w:hint="eastAsia"/>
          <w:b/>
          <w:bCs/>
          <w:color w:val="auto"/>
          <w:sz w:val="32"/>
          <w:szCs w:val="32"/>
        </w:rPr>
        <w:t>二十、年末结转和结余：</w:t>
      </w:r>
      <w:r>
        <w:rPr>
          <w:rFonts w:eastAsia="方正仿宋_GBK" w:hint="eastAsia"/>
          <w:color w:val="auto"/>
          <w:kern w:val="2"/>
          <w:sz w:val="32"/>
          <w:szCs w:val="32"/>
        </w:rPr>
        <w:t>指单位按有关规定结转到下年或以后年度继续使用的资金，或项目已完成等产生的结余资金。</w:t>
      </w:r>
    </w:p>
    <w:p>
      <w:pPr>
        <w:pStyle w:val="54"/>
        <w:spacing w:line="560" w:lineRule="exact"/>
        <w:ind w:firstLineChars="224" w:firstLine="717"/>
        <w:jc w:val="both"/>
        <w:rPr>
          <w:rFonts w:eastAsia="方正仿宋_GBK"/>
          <w:color w:val="auto"/>
          <w:sz w:val="32"/>
          <w:szCs w:val="32"/>
        </w:rPr>
      </w:pPr>
      <w:r>
        <w:rPr>
          <w:rFonts w:ascii="方正仿宋_GBK" w:eastAsia="方正仿宋_GBK" w:hint="eastAsia"/>
          <w:b/>
          <w:bCs/>
          <w:color w:val="auto"/>
          <w:sz w:val="32"/>
          <w:szCs w:val="32"/>
        </w:rPr>
        <w:t>二十一、基本支出：</w:t>
      </w:r>
      <w:r>
        <w:rPr>
          <w:rFonts w:eastAsia="方正仿宋_GBK" w:hint="eastAsia"/>
          <w:color w:val="auto"/>
          <w:sz w:val="32"/>
          <w:szCs w:val="32"/>
        </w:rPr>
        <w:t>指为保障机构正常运转、完成日常工作任务而发生的人员支出和公用支出。</w:t>
      </w:r>
    </w:p>
    <w:p>
      <w:pPr>
        <w:autoSpaceDE w:val="0"/>
        <w:autoSpaceDN w:val="0"/>
        <w:adjustRightInd w:val="0"/>
        <w:spacing w:line="560" w:lineRule="exact"/>
        <w:ind w:firstLineChars="224" w:firstLine="717"/>
        <w:rPr>
          <w:rFonts w:eastAsia="方正仿宋_GBK"/>
          <w:kern w:val="0"/>
          <w:sz w:val="32"/>
          <w:szCs w:val="32"/>
        </w:rPr>
      </w:pPr>
      <w:r>
        <w:rPr>
          <w:rFonts w:ascii="方正仿宋_GBK" w:eastAsia="方正仿宋_GBK" w:hint="eastAsia"/>
          <w:b/>
          <w:bCs/>
          <w:kern w:val="0"/>
          <w:sz w:val="32"/>
          <w:szCs w:val="32"/>
        </w:rPr>
        <w:t>二十二、项目支出：</w:t>
      </w:r>
      <w:r>
        <w:rPr>
          <w:rFonts w:eastAsia="方正仿宋_GBK" w:hint="eastAsia"/>
          <w:kern w:val="0"/>
          <w:sz w:val="32"/>
          <w:szCs w:val="32"/>
        </w:rPr>
        <w:t>指在基本支出之外为完成特定行政任务或事业发展目标所发生的支出。</w:t>
      </w:r>
    </w:p>
    <w:p>
      <w:pPr>
        <w:autoSpaceDE w:val="0"/>
        <w:autoSpaceDN w:val="0"/>
        <w:adjustRightInd w:val="0"/>
        <w:spacing w:line="560" w:lineRule="exact"/>
        <w:ind w:firstLineChars="224" w:firstLine="717"/>
        <w:rPr>
          <w:rFonts w:eastAsia="方正仿宋_GBK"/>
          <w:kern w:val="0"/>
          <w:sz w:val="32"/>
          <w:szCs w:val="32"/>
        </w:rPr>
      </w:pPr>
      <w:r>
        <w:rPr>
          <w:rFonts w:ascii="方正仿宋_GBK" w:eastAsia="方正仿宋_GBK" w:hint="eastAsia"/>
          <w:b/>
          <w:bCs/>
          <w:kern w:val="0"/>
          <w:sz w:val="32"/>
          <w:szCs w:val="32"/>
        </w:rPr>
        <w:t>二十三、经营支出：</w:t>
      </w:r>
      <w:r>
        <w:rPr>
          <w:rFonts w:eastAsia="方正仿宋_GBK" w:hint="eastAsia"/>
          <w:kern w:val="0"/>
          <w:sz w:val="32"/>
          <w:szCs w:val="32"/>
        </w:rPr>
        <w:t>指事业单位在专业业务活动及其辅助活动之外开展非独立核算经营活动发生的支出。</w:t>
      </w:r>
    </w:p>
    <w:p>
      <w:pPr>
        <w:autoSpaceDN w:val="0"/>
        <w:spacing w:line="560" w:lineRule="exact"/>
        <w:ind w:firstLineChars="200" w:firstLine="640"/>
        <w:rPr>
          <w:rFonts w:eastAsia="方正仿宋_GBK"/>
          <w:sz w:val="32"/>
          <w:szCs w:val="32"/>
        </w:rPr>
      </w:pPr>
      <w:r>
        <w:rPr>
          <w:rFonts w:ascii="方正仿宋_GBK" w:eastAsia="方正仿宋_GBK" w:hint="eastAsia"/>
          <w:b/>
          <w:bCs/>
          <w:kern w:val="0"/>
          <w:sz w:val="32"/>
          <w:szCs w:val="32"/>
        </w:rPr>
        <w:t>二十四、“三公经费”：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autoSpaceDN w:val="0"/>
        <w:spacing w:line="560" w:lineRule="exact"/>
        <w:ind w:firstLineChars="200" w:firstLine="640"/>
        <w:rPr>
          <w:rFonts w:eastAsia="方正仿宋_GBK"/>
          <w:sz w:val="32"/>
          <w:szCs w:val="32"/>
        </w:rPr>
      </w:pPr>
      <w:r>
        <w:rPr>
          <w:rFonts w:ascii="方正仿宋_GBK" w:eastAsia="方正仿宋_GBK" w:hint="eastAsia"/>
          <w:b/>
          <w:bCs/>
          <w:kern w:val="0"/>
          <w:sz w:val="32"/>
          <w:szCs w:val="32"/>
        </w:rPr>
        <w:t>二十五、</w:t>
      </w:r>
      <w:r>
        <w:rPr>
          <w:rFonts w:ascii="方正仿宋_GBK" w:eastAsia="方正仿宋_GBK" w:hint="eastAsia"/>
          <w:b/>
          <w:bCs/>
          <w:sz w:val="32"/>
          <w:szCs w:val="32"/>
        </w:rPr>
        <w:t>机关运行经费：</w:t>
      </w:r>
      <w:r>
        <w:rPr>
          <w:rFonts w:eastAsia="方正仿宋_GBK"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adjustRightInd w:val="0"/>
        <w:snapToGrid w:val="0"/>
        <w:spacing w:line="560" w:lineRule="exact"/>
      </w:pPr>
    </w:p>
    <w:sectPr>
      <w:pgSz w:w="11907" w:h="16840"/>
      <w:pgMar w:top="1701" w:right="1440" w:bottom="1701" w:left="1440" w:header="851" w:footer="992" w:gutter="0"/>
      <w:docGrid w:linePitch="312" w:charSpace="0"/>
    </w:sectPr>
  </w:body>
</w:document>
</file>

<file path=word/fontTable.xml><?xml version="1.0" encoding="utf-8"?>
<w:fonts xmlns:w="http://schemas.openxmlformats.org/wordprocessingml/2006/main" xmlns:r="http://schemas.openxmlformats.org/officeDocument/2006/relationships">
  <w:font w:name="方正隶书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0000000000000000000"/>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4"/>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customStyle="1" w:styleId="15">
    <w:name w:val="样式 2 10 磅"/>
    <w:next w:val="0"/>
    <w:pPr>
      <w:widowControl w:val="0"/>
      <w:jc w:val="both"/>
    </w:pPr>
    <w:rPr>
      <w:rFonts w:ascii="Times New Roman" w:eastAsia="宋体" w:cs="Times New Roman" w:hAnsi="Times New Roman"/>
      <w:kern w:val="2"/>
      <w:sz w:val="21"/>
      <w:szCs w:val="24"/>
      <w:lang w:val="en-US" w:eastAsia="zh-CN" w:bidi="ar-SA"/>
    </w:rPr>
  </w:style>
  <w:style w:type="paragraph" w:customStyle="1" w:styleId="16">
    <w:name w:val="Default"/>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character" w:customStyle="1" w:styleId="17">
    <w:name w:val="im-content1"/>
    <w:basedOn w:val="10"/>
    <w:rPr>
      <w:rFonts w:cs="Times New Roman"/>
      <w:color w:val="000000"/>
    </w:rPr>
  </w:style>
  <w:style w:type="paragraph" w:customStyle="1" w:styleId="18">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9">
    <w:name w:val="样式 1 10 磅"/>
    <w:pPr>
      <w:widowControl w:val="0"/>
      <w:jc w:val="both"/>
    </w:pPr>
    <w:rPr>
      <w:rFonts w:ascii="Times New Roman" w:eastAsia="宋体" w:cs="Times New Roman" w:hAnsi="Times New Roman"/>
      <w:kern w:val="2"/>
      <w:sz w:val="21"/>
      <w:szCs w:val="24"/>
      <w:lang w:val="en-US" w:eastAsia="zh-CN" w:bidi="ar-SA"/>
    </w:rPr>
  </w:style>
  <w:style w:type="paragraph" w:styleId="20">
    <w:name w:val="toc 3"/>
    <w:basedOn w:val="0"/>
    <w:autoRedefine/>
    <w:next w:val="0"/>
    <w:pPr>
      <w:ind w:left="840"/>
    </w:pPr>
  </w:style>
  <w:style w:type="paragraph" w:styleId="21">
    <w:name w:val="toc 4"/>
    <w:basedOn w:val="0"/>
    <w:autoRedefine/>
    <w:next w:val="0"/>
    <w:pPr>
      <w:ind w:left="1260"/>
    </w:pPr>
  </w:style>
  <w:style w:type="paragraph" w:styleId="22">
    <w:name w:val="toc 5"/>
    <w:basedOn w:val="0"/>
    <w:autoRedefine/>
    <w:next w:val="0"/>
    <w:pPr>
      <w:ind w:left="1680"/>
    </w:pPr>
  </w:style>
  <w:style w:type="paragraph" w:styleId="23">
    <w:name w:val="toc 6"/>
    <w:basedOn w:val="0"/>
    <w:autoRedefine/>
    <w:next w:val="0"/>
    <w:pPr>
      <w:ind w:left="2100"/>
    </w:pPr>
  </w:style>
  <w:style w:type="paragraph" w:customStyle="1" w:styleId="24">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三号"/>
    <w:pPr>
      <w:widowControl w:val="0"/>
      <w:jc w:val="both"/>
    </w:pPr>
    <w:rPr>
      <w:rFonts w:ascii="Times New Roman" w:eastAsia="方正仿宋_GBK" w:cs="Times New Roman" w:hAnsi="Times New Roman"/>
      <w:kern w:val="2"/>
      <w:sz w:val="32"/>
      <w:lang w:val="en-US" w:eastAsia="zh-CN" w:bidi="ar-SA"/>
    </w:rPr>
  </w:style>
  <w:style w:type="paragraph" w:customStyle="1" w:styleId="26">
    <w:name w:val="样式 5 小四"/>
    <w:next w:val="20"/>
    <w:rPr>
      <w:rFonts w:ascii="Times New Roman" w:eastAsia="宋体" w:cs="Times New Roman" w:hAnsi="Times New Roman"/>
      <w:sz w:val="24"/>
      <w:szCs w:val="24"/>
      <w:lang w:val="en-US" w:eastAsia="zh-CN" w:bidi="ar-SA"/>
    </w:rPr>
  </w:style>
  <w:style w:type="paragraph" w:customStyle="1" w:styleId="27">
    <w:name w:val="样式 6 小四"/>
    <w:next w:val="21"/>
    <w:rPr>
      <w:rFonts w:ascii="Times New Roman" w:eastAsia="宋体" w:cs="Times New Roman" w:hAnsi="Times New Roman"/>
      <w:sz w:val="24"/>
      <w:szCs w:val="24"/>
      <w:lang w:val="en-US" w:eastAsia="zh-CN" w:bidi="ar-SA"/>
    </w:rPr>
  </w:style>
  <w:style w:type="paragraph" w:customStyle="1" w:styleId="28">
    <w:name w:val="样式 2 三号"/>
    <w:next w:val="22"/>
    <w:pPr>
      <w:jc w:val="both"/>
    </w:pPr>
    <w:rPr>
      <w:rFonts w:ascii="Times New Roman" w:eastAsia="宋体" w:cs="Times New Roman" w:hAnsi="Times New Roman"/>
      <w:sz w:val="32"/>
      <w:szCs w:val="32"/>
      <w:lang w:val="en-US" w:eastAsia="zh-CN" w:bidi="ar-SA"/>
    </w:rPr>
  </w:style>
  <w:style w:type="paragraph" w:customStyle="1" w:styleId="29">
    <w:name w:val="样式 7 小四"/>
    <w:next w:val="23"/>
    <w:rPr>
      <w:rFonts w:ascii="宋体" w:eastAsia="宋体" w:cs="宋体"/>
      <w:sz w:val="24"/>
      <w:szCs w:val="24"/>
      <w:lang w:val="en-US" w:eastAsia="zh-CN" w:bidi="ar-SA"/>
    </w:rPr>
  </w:style>
  <w:style w:type="paragraph" w:customStyle="1" w:styleId="30">
    <w:name w:val="样式 1 三号"/>
    <w:pPr>
      <w:widowControl w:val="0"/>
      <w:jc w:val="both"/>
    </w:pPr>
    <w:rPr>
      <w:rFonts w:ascii="Times New Roman" w:eastAsia="方正仿宋_GBK" w:cs="Times New Roman" w:hAnsi="Times New Roman"/>
      <w:kern w:val="2"/>
      <w:sz w:val="32"/>
      <w:lang w:val="en-US" w:eastAsia="zh-CN" w:bidi="ar-SA"/>
    </w:rPr>
  </w:style>
  <w:style w:type="paragraph" w:customStyle="1" w:styleId="31">
    <w:name w:val="样式 小三"/>
    <w:pPr>
      <w:widowControl w:val="0"/>
      <w:jc w:val="both"/>
    </w:pPr>
    <w:rPr>
      <w:rFonts w:ascii="Times New Roman" w:eastAsia="仿宋_GB2312" w:cs="Times New Roman" w:hAnsi="Times New Roman"/>
      <w:kern w:val="2"/>
      <w:sz w:val="30"/>
      <w:szCs w:val="30"/>
      <w:lang w:val="en-US" w:eastAsia="zh-CN" w:bidi="ar-SA"/>
    </w:rPr>
  </w:style>
  <w:style w:type="paragraph" w:customStyle="1" w:styleId="32">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小四"/>
    <w:pPr>
      <w:widowControl w:val="0"/>
    </w:pPr>
    <w:rPr>
      <w:rFonts w:ascii="宋体" w:eastAsia="宋体" w:cs="Times New Roman"/>
      <w:kern w:val="2"/>
      <w:sz w:val="24"/>
      <w:szCs w:val="21"/>
      <w:lang w:val="en-US" w:eastAsia="zh-CN" w:bidi="ar-SA"/>
    </w:rPr>
  </w:style>
  <w:style w:type="paragraph" w:styleId="37">
    <w:name w:val="Balloon Text"/>
    <w:basedOn w:val="0"/>
    <w:rPr>
      <w:sz w:val="18"/>
      <w:szCs w:val="18"/>
    </w:rPr>
  </w:style>
  <w:style w:type="paragraph" w:styleId="38">
    <w:name w:val="header"/>
    <w:basedOn w:val="0"/>
    <w:pPr>
      <w:pBdr>
        <w:bottom w:val="single" w:sz="6" w:space="1" w:color="auto"/>
      </w:pBdr>
      <w:tabs>
        <w:tab w:val="center" w:pos="4153"/>
        <w:tab w:val="right" w:pos="8306"/>
      </w:tabs>
      <w:snapToGrid w:val="0"/>
      <w:jc w:val="center"/>
    </w:pPr>
    <w:rPr>
      <w:sz w:val="18"/>
      <w:szCs w:val="18"/>
    </w:rPr>
  </w:style>
  <w:style w:type="paragraph" w:styleId="39">
    <w:name w:val="footer"/>
    <w:basedOn w:val="0"/>
    <w:pPr>
      <w:tabs>
        <w:tab w:val="center" w:pos="4153"/>
        <w:tab w:val="right" w:pos="8306"/>
      </w:tabs>
      <w:snapToGrid w:val="0"/>
      <w:jc w:val="left"/>
    </w:pPr>
    <w:rPr>
      <w:sz w:val="18"/>
      <w:szCs w:val="18"/>
    </w:rPr>
  </w:style>
  <w:style w:type="paragraph" w:customStyle="1" w:styleId="40">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55">
    <w:name w:val="样式 1 小三"/>
    <w:pPr>
      <w:widowControl w:val="0"/>
      <w:jc w:val="both"/>
    </w:pPr>
    <w:rPr>
      <w:rFonts w:ascii="Times New Roman" w:eastAsia="仿宋_GB2312" w:cs="Times New Roman" w:hAnsi="Times New Roman"/>
      <w:kern w:val="2"/>
      <w:sz w:val="30"/>
      <w:szCs w:val="30"/>
      <w:lang w:val="en-US" w:eastAsia="zh-CN" w:bidi="ar-SA"/>
    </w:rPr>
  </w:style>
  <w:style w:type="paragraph" w:styleId="56">
    <w:name w:val="Body Text"/>
    <w:basedOn w:val="0"/>
    <w:pPr>
      <w:autoSpaceDE w:val="0"/>
      <w:autoSpaceDN w:val="0"/>
      <w:jc w:val="left"/>
    </w:pPr>
    <w:rPr>
      <w:rFonts w:ascii="仿宋" w:eastAsia="仿宋" w:cs="仿宋"/>
      <w:kern w:val="0"/>
      <w:sz w:val="32"/>
      <w:szCs w:val="32"/>
      <w:lang w:val="zh-CN"/>
    </w:rPr>
  </w:style>
  <w:style w:type="paragraph" w:customStyle="1" w:styleId="57">
    <w:name w:val="样式 3 三号"/>
    <w:next w:val="59"/>
    <w:pPr>
      <w:widowControl w:val="0"/>
      <w:jc w:val="both"/>
    </w:pPr>
    <w:rPr>
      <w:rFonts w:ascii="Times New Roman" w:eastAsia="方正仿宋_GBK" w:cs="Times New Roman" w:hAnsi="Times New Roman"/>
      <w:kern w:val="2"/>
      <w:sz w:val="32"/>
      <w:lang w:val="en-US" w:eastAsia="zh-CN" w:bidi="ar-SA"/>
    </w:rPr>
  </w:style>
  <w:style w:type="paragraph" w:customStyle="1" w:styleId="58">
    <w:name w:val="样式 71 三号"/>
    <w:next w:val="16"/>
    <w:pPr>
      <w:widowControl w:val="0"/>
      <w:autoSpaceDE w:val="0"/>
      <w:autoSpaceDN w:val="0"/>
    </w:pPr>
    <w:rPr>
      <w:rFonts w:ascii="仿宋" w:eastAsia="仿宋" w:cs="仿宋"/>
      <w:sz w:val="32"/>
      <w:szCs w:val="32"/>
      <w:lang w:val="zh-CN" w:eastAsia="zh-CN" w:bidi="ar-SA"/>
    </w:rPr>
  </w:style>
  <w:style w:type="paragraph" w:customStyle="1" w:styleId="59">
    <w:name w:val="样式 3 三号1"/>
    <w:pPr>
      <w:widowControl w:val="0"/>
      <w:jc w:val="both"/>
    </w:pPr>
    <w:rPr>
      <w:rFonts w:ascii="Times New Roman" w:eastAsia="方正仿宋_GBK" w:cs="Times New Roman" w:hAnsi="Times New Roman"/>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34</Pages>
  <Words>9201</Words>
  <Characters>11599</Characters>
  <Lines>2077</Lines>
  <Paragraphs>1070</Paragraphs>
  <CharactersWithSpaces>12988</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海关总署2019年度</dc:title>
  <dc:creator>lu_wei</dc:creator>
  <cp:lastModifiedBy>梁瑶</cp:lastModifiedBy>
  <cp:revision>2</cp:revision>
  <dcterms:created xsi:type="dcterms:W3CDTF">2024-08-20T07:13:00Z</dcterms:created>
  <dcterms:modified xsi:type="dcterms:W3CDTF">2024-08-21T06:09:14Z</dcterms:modified>
</cp:coreProperties>
</file>