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9"/>
        <w:spacing w:line="640" w:lineRule="exact"/>
        <w:jc w:val="center"/>
        <w:rPr>
          <w:rFonts w:ascii="方正小标宋_GBK" w:eastAsia="方正小标宋_GBK" w:cs="方正小标宋_GBK"/>
          <w:sz w:val="44"/>
          <w:szCs w:val="44"/>
          <w:lang w:bidi="ar-SA"/>
        </w:rPr>
      </w:pPr>
      <w:bookmarkStart w:id="0" w:name="_Hlk25540369"/>
      <w:bookmarkStart w:id="1" w:name="cogw__正文__file"/>
      <w:bookmarkStart w:id="2" w:name="_GoBack"/>
      <w:bookmarkEnd w:id="2"/>
    </w:p>
    <w:p>
      <w:pPr>
        <w:pStyle w:val="29"/>
        <w:spacing w:line="640" w:lineRule="exact"/>
        <w:jc w:val="center"/>
        <w:rPr>
          <w:rFonts w:ascii="方正小标宋_GBK" w:eastAsia="方正小标宋_GBK" w:cs="方正小标宋_GBK" w:hint="eastAsia"/>
          <w:sz w:val="44"/>
          <w:szCs w:val="44"/>
          <w:lang w:bidi="ar-SA"/>
        </w:rPr>
      </w:pPr>
      <w:r>
        <w:rPr>
          <w:rFonts w:ascii="方正小标宋_GBK" w:eastAsia="方正小标宋_GBK" w:cs="方正小标宋_GBK" w:hint="eastAsia"/>
          <w:sz w:val="44"/>
          <w:szCs w:val="44"/>
          <w:lang w:bidi="ar-SA"/>
        </w:rPr>
        <w:t>济南海关关</w:t>
      </w:r>
      <w:r>
        <w:rPr>
          <w:rFonts w:eastAsia="方正小标宋_GBK"/>
          <w:sz w:val="44"/>
          <w:szCs w:val="44"/>
          <w:lang w:bidi="ar-SA"/>
        </w:rPr>
        <w:t>区2021年</w:t>
      </w:r>
      <w:r>
        <w:rPr>
          <w:rFonts w:ascii="方正小标宋_GBK" w:eastAsia="方正小标宋_GBK" w:cs="方正小标宋_GBK" w:hint="eastAsia"/>
          <w:sz w:val="44"/>
          <w:szCs w:val="44"/>
          <w:lang w:bidi="ar-SA"/>
        </w:rPr>
        <w:t>政府信息公开工作</w:t>
      </w:r>
    </w:p>
    <w:p>
      <w:pPr>
        <w:pStyle w:val="29"/>
        <w:spacing w:line="640" w:lineRule="exact"/>
        <w:jc w:val="center"/>
        <w:rPr>
          <w:rFonts w:ascii="方正小标宋_GBK" w:eastAsia="方正小标宋_GBK" w:cs="方正小标宋_GBK" w:hint="eastAsia"/>
          <w:sz w:val="44"/>
          <w:szCs w:val="44"/>
          <w:lang w:bidi="ar-SA"/>
        </w:rPr>
      </w:pPr>
      <w:r>
        <w:rPr>
          <w:rFonts w:ascii="方正小标宋_GBK" w:eastAsia="方正小标宋_GBK" w:cs="方正小标宋_GBK" w:hint="eastAsia"/>
          <w:sz w:val="44"/>
          <w:szCs w:val="44"/>
          <w:lang w:bidi="ar-SA"/>
        </w:rPr>
        <w:t>年度报告</w:t>
      </w:r>
      <w:bookmarkEnd w:id="0"/>
    </w:p>
    <w:p>
      <w:pPr>
        <w:pStyle w:val="30"/>
        <w:widowControl/>
        <w:shd w:val="clear" w:color="auto" w:fill="FFFFFF"/>
        <w:adjustRightInd w:val="0"/>
        <w:snapToGrid w:val="0"/>
        <w:spacing w:beforeAutospacing="0" w:afterAutospacing="0" w:line="640" w:lineRule="exact"/>
        <w:jc w:val="both"/>
        <w:rPr>
          <w:rFonts w:ascii="楷体_GB2312" w:eastAsia="楷体_GB2312" w:cs="楷体_GB2312" w:hint="eastAsia"/>
          <w:bCs/>
          <w:sz w:val="32"/>
          <w:szCs w:val="32"/>
          <w:shd w:val="clear" w:color="auto" w:fill="FFFFFF"/>
          <w:lang w:bidi="ar-SA"/>
        </w:rPr>
      </w:pPr>
    </w:p>
    <w:p>
      <w:pPr>
        <w:pStyle w:val="30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cs="Arial" w:hint="eastAsia"/>
          <w:sz w:val="32"/>
          <w:szCs w:val="32"/>
          <w:lang w:bidi="ar-SA"/>
        </w:rPr>
      </w:pPr>
      <w:r>
        <w:rPr>
          <w:rFonts w:ascii="方正仿宋_GBK" w:eastAsia="方正仿宋_GBK" w:cs="Arial" w:hint="eastAsia"/>
          <w:sz w:val="32"/>
          <w:szCs w:val="32"/>
          <w:lang w:bidi="ar-SA"/>
        </w:rPr>
        <w:t>本报告根据《中华人民共和国政府信息公开条例》（以下简称《条例》）、《国务院办公厅政府信息与政务公开办公室关于印发〈中华人民共和国政府信息公开工作年度报告格式〉的通知》（国办公开办函〔</w:t>
      </w:r>
      <w:r>
        <w:rPr>
          <w:rFonts w:eastAsia="方正仿宋_GBK"/>
          <w:sz w:val="32"/>
          <w:szCs w:val="32"/>
        </w:rPr>
        <w:t>2021</w:t>
      </w:r>
      <w:r>
        <w:rPr>
          <w:rFonts w:ascii="方正仿宋_GBK" w:eastAsia="方正仿宋_GBK" w:cs="Arial" w:hint="eastAsia"/>
          <w:sz w:val="32"/>
          <w:szCs w:val="32"/>
          <w:lang w:bidi="ar-SA"/>
        </w:rPr>
        <w:t>〕</w:t>
      </w:r>
      <w:r>
        <w:rPr>
          <w:rFonts w:eastAsia="方正仿宋_GBK"/>
          <w:sz w:val="32"/>
          <w:szCs w:val="32"/>
        </w:rPr>
        <w:t>30</w:t>
      </w:r>
      <w:r>
        <w:rPr>
          <w:rFonts w:ascii="方正仿宋_GBK" w:eastAsia="方正仿宋_GBK" w:cs="Arial" w:hint="eastAsia"/>
          <w:sz w:val="32"/>
          <w:szCs w:val="32"/>
          <w:lang w:bidi="ar-SA"/>
        </w:rPr>
        <w:t>号）等有关规定，总结</w:t>
      </w:r>
      <w:r>
        <w:rPr>
          <w:rFonts w:eastAsia="方正仿宋_GBK"/>
          <w:sz w:val="32"/>
          <w:szCs w:val="32"/>
        </w:rPr>
        <w:t>2021</w:t>
      </w:r>
      <w:r>
        <w:rPr>
          <w:rFonts w:ascii="方正仿宋_GBK" w:eastAsia="方正仿宋_GBK" w:cs="Arial" w:hint="eastAsia"/>
          <w:sz w:val="32"/>
          <w:szCs w:val="32"/>
          <w:lang w:bidi="ar-SA"/>
        </w:rPr>
        <w:t>年济南海关关区政府信息公开工作情况编制而成。报告中所列数据的统计期限，</w:t>
      </w:r>
      <w:r>
        <w:rPr>
          <w:rFonts w:eastAsia="方正仿宋_GBK"/>
          <w:sz w:val="32"/>
          <w:szCs w:val="32"/>
        </w:rPr>
        <w:t>自2021年1月1日起至2021年12月31</w:t>
      </w:r>
      <w:r>
        <w:rPr>
          <w:rFonts w:ascii="方正仿宋_GBK" w:eastAsia="方正仿宋_GBK" w:cs="Arial" w:hint="eastAsia"/>
          <w:sz w:val="32"/>
          <w:szCs w:val="32"/>
          <w:lang w:bidi="ar-SA"/>
        </w:rPr>
        <w:t>日止。如对本报告有任何疑问，请与济南海关办公室新闻宣传科联系（地址：</w:t>
      </w:r>
      <w:r>
        <w:rPr>
          <w:rFonts w:eastAsia="方正仿宋_GBK" w:hint="eastAsia"/>
          <w:sz w:val="32"/>
          <w:szCs w:val="32"/>
        </w:rPr>
        <w:t>济南市市中区英雄山路</w:t>
      </w:r>
      <w:r>
        <w:rPr>
          <w:rFonts w:eastAsia="方正仿宋_GBK"/>
          <w:sz w:val="32"/>
          <w:szCs w:val="32"/>
        </w:rPr>
        <w:t>288</w:t>
      </w:r>
      <w:r>
        <w:rPr>
          <w:rFonts w:eastAsia="方正仿宋_GBK" w:hint="eastAsia"/>
          <w:sz w:val="32"/>
          <w:szCs w:val="32"/>
        </w:rPr>
        <w:t>号，济南海关办公室新闻宣传科，邮政编码：</w:t>
      </w:r>
      <w:r>
        <w:rPr>
          <w:rFonts w:eastAsia="方正仿宋_GBK"/>
          <w:sz w:val="32"/>
          <w:szCs w:val="32"/>
        </w:rPr>
        <w:t>250000</w:t>
      </w:r>
      <w:r>
        <w:rPr>
          <w:rFonts w:eastAsia="方正仿宋_GBK" w:hint="eastAsia"/>
          <w:sz w:val="32"/>
          <w:szCs w:val="32"/>
        </w:rPr>
        <w:t>；</w:t>
      </w:r>
      <w:r>
        <w:rPr>
          <w:rFonts w:ascii="方正仿宋_GBK" w:eastAsia="方正仿宋_GBK" w:cs="Arial" w:hint="eastAsia"/>
          <w:sz w:val="32"/>
          <w:szCs w:val="32"/>
          <w:lang w:bidi="ar-SA"/>
        </w:rPr>
        <w:t>联系电话：</w:t>
      </w:r>
      <w:r>
        <w:rPr>
          <w:rFonts w:eastAsia="方正仿宋_GBK"/>
          <w:sz w:val="32"/>
          <w:szCs w:val="32"/>
        </w:rPr>
        <w:t>0531-12360</w:t>
      </w:r>
      <w:r>
        <w:rPr>
          <w:rFonts w:ascii="方正仿宋_GBK" w:eastAsia="方正仿宋_GBK" w:cs="Arial" w:hint="eastAsia"/>
          <w:sz w:val="32"/>
          <w:szCs w:val="32"/>
          <w:lang w:bidi="ar-SA"/>
        </w:rPr>
        <w:t>，电子信箱：</w:t>
      </w:r>
      <w:r>
        <w:rPr>
          <w:rFonts w:eastAsia="方正仿宋_GBK"/>
          <w:sz w:val="32"/>
          <w:szCs w:val="32"/>
        </w:rPr>
        <w:t>jnhg_xxgk@customs.gov.cn</w:t>
      </w:r>
      <w:r>
        <w:rPr>
          <w:rFonts w:ascii="方正仿宋_GBK" w:eastAsia="方正仿宋_GBK" w:cs="Arial" w:hint="eastAsia"/>
          <w:sz w:val="32"/>
          <w:szCs w:val="32"/>
          <w:lang w:bidi="ar-SA"/>
        </w:rPr>
        <w:t>）。</w:t>
      </w:r>
    </w:p>
    <w:p>
      <w:pPr>
        <w:pStyle w:val="30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仿宋_GBK"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一、总体情况</w:t>
      </w:r>
    </w:p>
    <w:p>
      <w:pPr>
        <w:pStyle w:val="30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</w:pPr>
      <w:r>
        <w:rPr>
          <w:rFonts w:eastAsia="方正仿宋_GBK"/>
          <w:sz w:val="32"/>
          <w:szCs w:val="32"/>
        </w:rPr>
        <w:t>2021年，济南海关关区坚持以习近平新时代中国特色社会主义思想为指导，全面贯彻党的十九大和十九届历次全会精神，认真落实《条例》和海关总署《2021年海关政务公开工作要点》（以下简称《要点》）要求，推动关区切实履行政务公开法定职责，不断提高关区政务公开工作水平。</w:t>
      </w:r>
    </w:p>
    <w:p>
      <w:pPr>
        <w:spacing w:line="560" w:lineRule="exact"/>
        <w:ind w:firstLineChars="200" w:firstLine="640"/>
      </w:pPr>
      <w:r>
        <w:rPr>
          <w:rFonts w:ascii="方正楷体_GBK" w:eastAsia="方正楷体_GBK" w:hint="eastAsia"/>
        </w:rPr>
        <w:t>（一）细化考核项目，加强制度建设。</w:t>
      </w:r>
      <w:r>
        <w:t>修订《济南海关政府信息公开工作规程》；制发《2021年济南海关政务公开工作要点任务分解表》；举办关区政务公开专项业务培训班。</w:t>
      </w:r>
    </w:p>
    <w:p>
      <w:pPr>
        <w:spacing w:line="560" w:lineRule="exact"/>
        <w:ind w:firstLineChars="200" w:firstLine="640"/>
      </w:pPr>
      <w:r>
        <w:rPr>
          <w:rFonts w:ascii="方正楷体_GBK" w:eastAsia="方正楷体_GBK" w:hint="eastAsia"/>
        </w:rPr>
        <w:t>（二）拓宽公开范围，深化主动公开。</w:t>
      </w:r>
      <w:r>
        <w:t>在本关门户网站主动公开政府信息789条，对外发布《济南海关本级机关主动公开基本目录（2021年版）》；及时发布关区各单位、各部门工作职责及咨询电话。</w:t>
      </w:r>
    </w:p>
    <w:p>
      <w:pPr>
        <w:pStyle w:val="31"/>
        <w:shd w:val="clear" w:color="auto" w:fill="auto"/>
        <w:spacing w:line="560" w:lineRule="exact"/>
        <w:ind w:firstLineChars="200" w:firstLine="640"/>
        <w:jc w:val="both"/>
        <w:textAlignment w:val="top"/>
        <w:rPr>
          <w:rFonts w:eastAsia="方正仿宋_GBK"/>
          <w:sz w:val="32"/>
          <w:szCs w:val="32"/>
        </w:rPr>
      </w:pPr>
      <w:r>
        <w:rPr>
          <w:rFonts w:ascii="方正楷体_GBK" w:eastAsia="方正楷体_GBK" w:cs="Arial" w:hint="eastAsia"/>
          <w:sz w:val="32"/>
          <w:szCs w:val="32"/>
          <w:lang w:bidi="ar-SA"/>
        </w:rPr>
        <w:t>（三）</w:t>
      </w:r>
      <w:r>
        <w:rPr>
          <w:rFonts w:ascii="方正楷体_GBK" w:eastAsia="方正楷体_GBK" w:cs="Arial" w:hint="eastAsia"/>
          <w:bCs/>
          <w:sz w:val="32"/>
          <w:szCs w:val="32"/>
          <w:lang w:bidi="ar-SA"/>
        </w:rPr>
        <w:t>加强平台建设，提升服务水平。</w:t>
      </w:r>
      <w:r>
        <w:rPr>
          <w:rFonts w:ascii="Times New Roman" w:eastAsia="方正仿宋_GBK" w:hAnsi="Times New Roman"/>
          <w:sz w:val="32"/>
          <w:szCs w:val="32"/>
        </w:rPr>
        <w:t>在总署门户网站发布政策解读19篇</w:t>
      </w:r>
      <w:r>
        <w:rPr>
          <w:rFonts w:eastAsia="方正仿宋_GBK"/>
          <w:sz w:val="32"/>
          <w:szCs w:val="32"/>
        </w:rPr>
        <w:t>；在</w:t>
      </w:r>
      <w:r>
        <w:rPr>
          <w:rFonts w:ascii="Times New Roman" w:eastAsia="方正仿宋_GBK" w:hAnsi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12360海关热线</w:t>
      </w:r>
      <w:r>
        <w:rPr>
          <w:rFonts w:ascii="Times New Roman" w:eastAsia="方正仿宋_GBK" w:hAnsi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微信公众号发布</w:t>
      </w:r>
      <w:r>
        <w:rPr>
          <w:rFonts w:ascii="Times New Roman" w:eastAsia="方正仿宋_GBK" w:hAnsi="Times New Roman" w:hint="eastAsia"/>
          <w:sz w:val="32"/>
          <w:szCs w:val="32"/>
        </w:rPr>
        <w:t>稿件</w:t>
      </w:r>
      <w:r>
        <w:rPr>
          <w:rFonts w:ascii="Times New Roman" w:eastAsia="方正仿宋_GBK" w:hAnsi="Times New Roman"/>
          <w:sz w:val="32"/>
          <w:szCs w:val="32"/>
        </w:rPr>
        <w:t>100篇，居全国海关前列；在</w:t>
      </w:r>
      <w:r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济南海关发布</w:t>
      </w:r>
      <w:r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微信公众号发布政策解读等各类稿件</w:t>
      </w:r>
      <w:r>
        <w:rPr>
          <w:rFonts w:ascii="Times New Roman" w:eastAsia="方正仿宋_GBK" w:hAnsi="Times New Roman"/>
          <w:sz w:val="32"/>
          <w:szCs w:val="32"/>
        </w:rPr>
        <w:t>487</w:t>
      </w:r>
      <w:r>
        <w:rPr>
          <w:rFonts w:eastAsia="方正仿宋_GBK"/>
          <w:sz w:val="32"/>
          <w:szCs w:val="32"/>
        </w:rPr>
        <w:t>篇。</w:t>
      </w:r>
      <w:r>
        <w:rPr>
          <w:rFonts w:ascii="Times New Roman" w:eastAsia="方正仿宋_GBK" w:hAnsi="Times New Roman"/>
          <w:sz w:val="32"/>
          <w:szCs w:val="32"/>
        </w:rPr>
        <w:t>12360海关热线全年受理话务咨询</w:t>
      </w:r>
      <w:r>
        <w:rPr>
          <w:rFonts w:ascii="Times New Roman" w:eastAsia="方正仿宋_GBK" w:hAnsi="Times New Roman" w:hint="eastAsia"/>
          <w:sz w:val="32"/>
          <w:szCs w:val="32"/>
        </w:rPr>
        <w:t>18497</w:t>
      </w:r>
      <w:r>
        <w:rPr>
          <w:rFonts w:ascii="Times New Roman" w:eastAsia="方正仿宋_GBK" w:hAnsi="Times New Roman"/>
          <w:sz w:val="32"/>
          <w:szCs w:val="32"/>
        </w:rPr>
        <w:t>次，转办工单</w:t>
      </w:r>
      <w:r>
        <w:rPr>
          <w:rFonts w:ascii="Times New Roman" w:eastAsia="方正仿宋_GBK" w:hAnsi="Times New Roman" w:hint="eastAsia"/>
          <w:sz w:val="32"/>
          <w:szCs w:val="32"/>
        </w:rPr>
        <w:t>590</w:t>
      </w:r>
      <w:r>
        <w:rPr>
          <w:rFonts w:ascii="Times New Roman" w:eastAsia="方正仿宋_GBK" w:hAnsi="Times New Roman"/>
          <w:sz w:val="32"/>
          <w:szCs w:val="32"/>
        </w:rPr>
        <w:t>件，接通率</w:t>
      </w:r>
      <w:r>
        <w:rPr>
          <w:rFonts w:ascii="Times New Roman" w:eastAsia="方正仿宋_GBK" w:hAnsi="Times New Roman" w:hint="eastAsia"/>
          <w:sz w:val="32"/>
          <w:szCs w:val="32"/>
        </w:rPr>
        <w:t>99.2</w:t>
      </w:r>
      <w:r>
        <w:rPr>
          <w:rFonts w:ascii="Times New Roman" w:eastAsia="方正仿宋_GBK" w:hAnsi="Times New Roman"/>
          <w:sz w:val="32"/>
          <w:szCs w:val="32"/>
        </w:rPr>
        <w:t>%，抽查</w:t>
      </w:r>
      <w:r>
        <w:rPr>
          <w:rFonts w:ascii="Times New Roman" w:eastAsia="方正仿宋_GBK" w:hAnsi="Times New Roman" w:hint="eastAsia"/>
          <w:sz w:val="32"/>
          <w:szCs w:val="32"/>
        </w:rPr>
        <w:t>答复准确率</w:t>
      </w:r>
      <w:r>
        <w:rPr>
          <w:rFonts w:ascii="Times New Roman" w:eastAsia="方正仿宋_GBK" w:hAnsi="Times New Roman"/>
          <w:sz w:val="32"/>
          <w:szCs w:val="32"/>
        </w:rPr>
        <w:t>100%，完善知识库520条；在全国率先完成12360热线与地方12345</w:t>
      </w:r>
      <w:r>
        <w:rPr>
          <w:rFonts w:eastAsia="方正仿宋_GBK"/>
          <w:sz w:val="32"/>
          <w:szCs w:val="32"/>
        </w:rPr>
        <w:t>热线归并工作。升级</w:t>
      </w:r>
      <w:r>
        <w:rPr>
          <w:rFonts w:eastAsia="方正仿宋_GBK" w:hint="eastAsia"/>
          <w:sz w:val="32"/>
          <w:szCs w:val="32"/>
          <w:lang w:bidi="ar-SA"/>
        </w:rPr>
        <w:t>“</w:t>
      </w:r>
      <w:r>
        <w:rPr>
          <w:rFonts w:eastAsia="方正仿宋_GBK"/>
          <w:sz w:val="32"/>
          <w:szCs w:val="32"/>
          <w:lang w:bidi="ar-SA"/>
        </w:rPr>
        <w:t>海关政务公开信息管理系统</w:t>
      </w:r>
      <w:r>
        <w:rPr>
          <w:rFonts w:eastAsia="方正仿宋_GBK" w:hint="eastAsia"/>
          <w:sz w:val="32"/>
          <w:szCs w:val="32"/>
          <w:lang w:bidi="ar-SA"/>
        </w:rPr>
        <w:t>”</w:t>
      </w:r>
      <w:r>
        <w:rPr>
          <w:rFonts w:eastAsia="方正仿宋_GBK"/>
          <w:sz w:val="32"/>
          <w:szCs w:val="32"/>
          <w:lang w:bidi="ar-SA"/>
        </w:rPr>
        <w:t>，</w:t>
      </w:r>
      <w:r>
        <w:rPr>
          <w:rFonts w:eastAsia="方正仿宋_GBK"/>
          <w:sz w:val="32"/>
          <w:szCs w:val="32"/>
        </w:rPr>
        <w:t>上线运行</w:t>
      </w:r>
      <w:r>
        <w:rPr>
          <w:rFonts w:eastAsia="方正仿宋_GBK"/>
          <w:sz w:val="32"/>
          <w:szCs w:val="32"/>
          <w:lang w:bidi="ar-SA"/>
        </w:rPr>
        <w:t>新版</w:t>
      </w:r>
      <w:r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政府信息公开目录</w:t>
      </w:r>
      <w:r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  <w:lang w:bidi="ar-SA"/>
        </w:rPr>
        <w:t>；</w:t>
      </w:r>
      <w:r>
        <w:rPr>
          <w:rFonts w:eastAsia="方正仿宋_GBK"/>
          <w:sz w:val="32"/>
          <w:szCs w:val="32"/>
        </w:rPr>
        <w:t>更新门户网站</w:t>
      </w:r>
      <w:r>
        <w:rPr>
          <w:rFonts w:eastAsia="方正仿宋_GBK" w:hint="eastAsia"/>
          <w:sz w:val="32"/>
          <w:szCs w:val="32"/>
          <w:lang w:bidi="ar-SA"/>
        </w:rPr>
        <w:t>“</w:t>
      </w:r>
      <w:r>
        <w:rPr>
          <w:rFonts w:eastAsia="方正仿宋_GBK"/>
          <w:sz w:val="32"/>
          <w:szCs w:val="32"/>
        </w:rPr>
        <w:t>业务咨询</w:t>
      </w:r>
      <w:r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模块，全年答复用户业务咨询</w:t>
      </w:r>
      <w:r>
        <w:rPr>
          <w:rFonts w:ascii="Times New Roman" w:eastAsia="方正仿宋_GBK" w:hAnsi="Times New Roman"/>
          <w:sz w:val="32"/>
          <w:szCs w:val="32"/>
        </w:rPr>
        <w:t>167条</w:t>
      </w:r>
      <w:r>
        <w:rPr>
          <w:rFonts w:ascii="Times New Roman" w:eastAsia="方正仿宋_GBK" w:hAnsi="Times New Roman" w:hint="eastAsia"/>
          <w:sz w:val="32"/>
          <w:szCs w:val="32"/>
        </w:rPr>
        <w:t>；</w:t>
      </w:r>
      <w:r>
        <w:rPr>
          <w:rFonts w:eastAsia="方正仿宋_GBK" w:hint="eastAsia"/>
          <w:sz w:val="32"/>
          <w:szCs w:val="32"/>
        </w:rPr>
        <w:t>开发企业智慧培育系统</w:t>
      </w:r>
      <w:r>
        <w:rPr>
          <w:rFonts w:eastAsia="方正仿宋_GBK"/>
          <w:sz w:val="32"/>
          <w:szCs w:val="32"/>
        </w:rPr>
        <w:t>。</w:t>
      </w:r>
    </w:p>
    <w:p>
      <w:pPr>
        <w:pStyle w:val="31"/>
        <w:shd w:val="clear" w:color="auto" w:fill="auto"/>
        <w:spacing w:line="560" w:lineRule="exact"/>
        <w:ind w:firstLineChars="200" w:firstLine="640"/>
        <w:jc w:val="both"/>
        <w:textAlignment w:val="top"/>
        <w:rPr>
          <w:rFonts w:ascii="方正楷体_GBK" w:eastAsia="方正楷体_GBK" w:cs="Arial" w:hint="eastAsia"/>
          <w:szCs w:val="32"/>
          <w:lang w:bidi="ar-SA"/>
        </w:rPr>
      </w:pPr>
      <w:r>
        <w:rPr>
          <w:rFonts w:ascii="方正楷体_GBK" w:eastAsia="方正楷体_GBK" w:hint="eastAsia"/>
          <w:sz w:val="32"/>
          <w:szCs w:val="32"/>
        </w:rPr>
        <w:t>（四）突出重点领域，精准便企利民。</w:t>
      </w:r>
      <w:r>
        <w:rPr>
          <w:rFonts w:eastAsia="方正仿宋_GBK"/>
          <w:sz w:val="32"/>
          <w:szCs w:val="32"/>
        </w:rPr>
        <w:t>在门户网站推出</w:t>
      </w:r>
      <w:r>
        <w:rPr>
          <w:rFonts w:eastAsia="方正仿宋_GBK" w:hint="eastAsia"/>
          <w:sz w:val="32"/>
          <w:szCs w:val="32"/>
        </w:rPr>
        <w:t>“进出境旅客通关场景式服务”</w:t>
      </w:r>
      <w:r>
        <w:rPr>
          <w:rFonts w:eastAsia="方正仿宋_GBK"/>
          <w:sz w:val="32"/>
          <w:szCs w:val="32"/>
        </w:rPr>
        <w:t>等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eastAsia="方正仿宋_GBK"/>
          <w:sz w:val="32"/>
          <w:szCs w:val="32"/>
        </w:rPr>
        <w:t>个主题的</w:t>
      </w:r>
      <w:r>
        <w:rPr>
          <w:rFonts w:eastAsia="方正仿宋_GBK" w:hint="eastAsia"/>
          <w:sz w:val="32"/>
          <w:szCs w:val="32"/>
        </w:rPr>
        <w:t>“场景式”服务</w:t>
      </w:r>
      <w:r>
        <w:rPr>
          <w:rFonts w:eastAsia="方正仿宋_GBK"/>
          <w:sz w:val="32"/>
          <w:szCs w:val="32"/>
        </w:rPr>
        <w:t>。开设</w:t>
      </w:r>
      <w:r>
        <w:rPr>
          <w:rFonts w:eastAsia="方正仿宋_GBK" w:hint="eastAsia"/>
          <w:sz w:val="32"/>
          <w:szCs w:val="32"/>
        </w:rPr>
        <w:t>“</w:t>
      </w:r>
      <w:r>
        <w:rPr>
          <w:rFonts w:ascii="方正仿宋_GBK" w:eastAsia="方正仿宋_GBK" w:hint="eastAsia"/>
          <w:sz w:val="32"/>
          <w:szCs w:val="32"/>
        </w:rPr>
        <w:t>济南海关统筹推进口岸疫情防控和促进外贸稳增长</w:t>
      </w:r>
      <w:r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专栏，发布信息</w:t>
      </w:r>
      <w:r>
        <w:rPr>
          <w:rFonts w:ascii="Times New Roman" w:eastAsia="方正仿宋_GBK" w:hAnsi="Times New Roman"/>
          <w:sz w:val="32"/>
          <w:szCs w:val="32"/>
        </w:rPr>
        <w:t>110</w:t>
      </w:r>
      <w:r>
        <w:rPr>
          <w:rFonts w:eastAsia="方正仿宋_GBK"/>
          <w:sz w:val="32"/>
          <w:szCs w:val="32"/>
        </w:rPr>
        <w:t>条</w:t>
      </w:r>
      <w:r>
        <w:rPr>
          <w:rFonts w:eastAsia="方正仿宋_GBK"/>
          <w:color w:val="000000"/>
          <w:sz w:val="32"/>
          <w:szCs w:val="32"/>
        </w:rPr>
        <w:t>。以网上直播方式发布</w:t>
      </w:r>
      <w:r>
        <w:rPr>
          <w:rFonts w:eastAsia="方正仿宋_GBK" w:hint="eastAsia"/>
          <w:color w:val="000000"/>
          <w:sz w:val="32"/>
          <w:szCs w:val="32"/>
        </w:rPr>
        <w:t>“</w:t>
      </w:r>
      <w:r>
        <w:rPr>
          <w:rFonts w:ascii="Times New Roman" w:eastAsia="方正仿宋_GBK" w:hAnsi="Times New Roman"/>
          <w:color w:val="000000"/>
          <w:sz w:val="32"/>
          <w:szCs w:val="32"/>
        </w:rPr>
        <w:t>2020</w:t>
      </w:r>
      <w:r>
        <w:rPr>
          <w:rFonts w:eastAsia="方正仿宋_GBK"/>
          <w:color w:val="000000"/>
          <w:sz w:val="32"/>
          <w:szCs w:val="32"/>
        </w:rPr>
        <w:t>年山东省外贸整体情况</w:t>
      </w:r>
      <w:r>
        <w:rPr>
          <w:rFonts w:eastAsia="方正仿宋_GBK" w:hint="eastAsia"/>
          <w:color w:val="000000"/>
          <w:sz w:val="32"/>
          <w:szCs w:val="32"/>
        </w:rPr>
        <w:t>”</w:t>
      </w:r>
      <w:r>
        <w:rPr>
          <w:rFonts w:eastAsia="方正仿宋_GBK"/>
          <w:color w:val="000000"/>
          <w:sz w:val="32"/>
          <w:szCs w:val="32"/>
        </w:rPr>
        <w:t>等新闻发布会</w:t>
      </w:r>
      <w:r>
        <w:rPr>
          <w:rFonts w:ascii="Times New Roman" w:eastAsia="方正仿宋_GBK" w:hAnsi="Times New Roman"/>
          <w:color w:val="000000"/>
          <w:sz w:val="32"/>
          <w:szCs w:val="32"/>
        </w:rPr>
        <w:t>4</w:t>
      </w:r>
      <w:r>
        <w:rPr>
          <w:rFonts w:eastAsia="方正仿宋_GBK"/>
          <w:color w:val="000000"/>
          <w:sz w:val="32"/>
          <w:szCs w:val="32"/>
        </w:rPr>
        <w:t>期。潍坊、</w:t>
      </w:r>
      <w:r>
        <w:rPr>
          <w:rFonts w:eastAsia="方正仿宋_GBK"/>
          <w:sz w:val="32"/>
          <w:szCs w:val="32"/>
        </w:rPr>
        <w:t>滨州、聊城等海关参加地方政风行风在线类栏目为群众解疑答惑。</w:t>
      </w:r>
    </w:p>
    <w:p>
      <w:pPr>
        <w:pStyle w:val="31"/>
        <w:shd w:val="clear" w:color="auto" w:fill="auto"/>
        <w:spacing w:line="560" w:lineRule="exact"/>
        <w:ind w:firstLineChars="200" w:firstLine="640"/>
        <w:jc w:val="both"/>
        <w:textAlignment w:val="top"/>
        <w:rPr>
          <w:rFonts w:ascii="方正仿宋_GBK" w:eastAsia="方正仿宋_GBK" w:hint="eastAsia"/>
          <w:sz w:val="32"/>
          <w:szCs w:val="32"/>
        </w:rPr>
      </w:pPr>
      <w:r>
        <w:rPr>
          <w:rFonts w:ascii="方正楷体_GBK" w:eastAsia="方正楷体_GBK" w:cs="Arial" w:hint="eastAsia"/>
          <w:sz w:val="32"/>
          <w:szCs w:val="32"/>
          <w:lang w:bidi="ar-SA"/>
        </w:rPr>
        <w:t>（五）规范依申请公开，服务群众需求。</w:t>
      </w:r>
      <w:r>
        <w:rPr>
          <w:rFonts w:ascii="方正仿宋_GBK" w:eastAsia="方正仿宋_GBK" w:hint="eastAsia"/>
          <w:sz w:val="32"/>
          <w:szCs w:val="32"/>
        </w:rPr>
        <w:t>向关区下发《依申请公开咨询答复及办理指引》；</w:t>
      </w:r>
      <w:r>
        <w:rPr>
          <w:rFonts w:ascii="方正仿宋_GBK" w:eastAsia="方正仿宋_GBK" w:hint="eastAsia"/>
          <w:bCs/>
          <w:sz w:val="32"/>
          <w:szCs w:val="32"/>
        </w:rPr>
        <w:t>淄博、滨州、东营等海关开展依申请公开专项业务培训；</w:t>
      </w:r>
      <w:r>
        <w:rPr>
          <w:rFonts w:ascii="方正仿宋_GBK" w:eastAsia="方正仿宋_GBK" w:hint="eastAsia"/>
          <w:sz w:val="32"/>
          <w:szCs w:val="32"/>
        </w:rPr>
        <w:t>公开发布济南海关本级和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11</w:t>
      </w:r>
      <w:r>
        <w:rPr>
          <w:rFonts w:ascii="方正仿宋_GBK" w:eastAsia="方正仿宋_GBK" w:hint="eastAsia"/>
          <w:sz w:val="32"/>
          <w:szCs w:val="32"/>
        </w:rPr>
        <w:t>个海关受理依申请公开的电子邮箱、联系电话、通信地址等信息；开展依申请公开测试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3轮次</w:t>
      </w:r>
      <w:r>
        <w:rPr>
          <w:rFonts w:ascii="方正仿宋_GBK" w:eastAsia="方正仿宋_GBK" w:hint="eastAsia"/>
          <w:sz w:val="32"/>
          <w:szCs w:val="32"/>
        </w:rPr>
        <w:t>，第一时间整改完成。</w:t>
      </w:r>
    </w:p>
    <w:p>
      <w:pPr>
        <w:pStyle w:val="31"/>
        <w:shd w:val="clear" w:color="auto" w:fill="auto"/>
        <w:spacing w:line="560" w:lineRule="exact"/>
        <w:ind w:firstLineChars="200" w:firstLine="640"/>
        <w:jc w:val="both"/>
        <w:textAlignment w:val="top"/>
        <w:rPr>
          <w:rFonts w:ascii="方正楷体_GBK" w:eastAsia="方正楷体_GBK" w:cs="Arial" w:hint="eastAsia"/>
          <w:sz w:val="32"/>
          <w:szCs w:val="32"/>
          <w:lang w:bidi="ar-SA"/>
        </w:rPr>
      </w:pPr>
      <w:r>
        <w:rPr>
          <w:rFonts w:ascii="Times New Roman" w:eastAsia="方正仿宋_GBK" w:hAnsi="Times New Roman" w:hint="eastAsia"/>
          <w:kern w:val="2"/>
          <w:sz w:val="32"/>
          <w:szCs w:val="32"/>
        </w:rPr>
        <w:t>2021年</w:t>
      </w:r>
      <w:r>
        <w:rPr>
          <w:rFonts w:ascii="Times New Roman" w:eastAsia="方正仿宋_GBK" w:hAnsi="Times New Roman"/>
          <w:kern w:val="2"/>
          <w:sz w:val="32"/>
          <w:szCs w:val="32"/>
        </w:rPr>
        <w:t>，关区</w:t>
      </w:r>
      <w:r>
        <w:rPr>
          <w:rFonts w:ascii="Times New Roman" w:eastAsia="方正仿宋_GBK" w:hAnsi="Times New Roman" w:hint="eastAsia"/>
          <w:kern w:val="2"/>
          <w:sz w:val="32"/>
          <w:szCs w:val="32"/>
        </w:rPr>
        <w:t>共接收依申请公开事项17件，上年结转2件，答复7件</w:t>
      </w:r>
      <w:r>
        <w:rPr>
          <w:rFonts w:ascii="Times New Roman" w:eastAsia="方正仿宋_GBK" w:hAnsi="Times New Roman"/>
          <w:kern w:val="2"/>
          <w:sz w:val="32"/>
          <w:szCs w:val="32"/>
        </w:rPr>
        <w:t>（予以公开2件，部分公开3件，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本机关不掌握相关政府信息1件，咨询事项、指引咨询渠道1件</w:t>
      </w:r>
      <w:r>
        <w:rPr>
          <w:rFonts w:ascii="Times New Roman" w:eastAsia="方正仿宋_GBK" w:cs="Times New Roman" w:hAnsi="Times New Roman"/>
          <w:kern w:val="2"/>
          <w:sz w:val="32"/>
          <w:szCs w:val="32"/>
          <w:lang w:bidi="ar-SA"/>
        </w:rPr>
        <w:t>），</w:t>
      </w:r>
      <w:r>
        <w:rPr>
          <w:rFonts w:ascii="Times New Roman" w:eastAsia="方正仿宋_GBK" w:hAnsi="Times New Roman" w:hint="eastAsia"/>
          <w:kern w:val="2"/>
          <w:sz w:val="32"/>
          <w:szCs w:val="32"/>
        </w:rPr>
        <w:t>撤销11件，结转下年度继续办理1件。</w:t>
      </w:r>
      <w:r>
        <w:rPr>
          <w:rFonts w:ascii="Times New Roman" w:eastAsia="方正仿宋_GBK" w:hAnsi="Times New Roman"/>
          <w:kern w:val="2"/>
          <w:sz w:val="32"/>
          <w:szCs w:val="32"/>
        </w:rPr>
        <w:t>申请内容主要集中在海关统计、进出口食品安全等领域。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全年收到涉及依申请公开的行政复议0起、行政诉讼0起。</w:t>
      </w:r>
    </w:p>
    <w:p>
      <w:pPr>
        <w:pStyle w:val="31"/>
        <w:shd w:val="clear" w:color="auto" w:fill="auto"/>
        <w:spacing w:line="560" w:lineRule="exact"/>
        <w:ind w:firstLineChars="200" w:firstLine="640"/>
        <w:jc w:val="both"/>
        <w:textAlignment w:val="top"/>
        <w:rPr>
          <w:rFonts w:ascii="Times New Roman" w:eastAsia="方正仿宋_GBK" w:cs="Times New Roman" w:hAnsi="Times New Roman"/>
          <w:sz w:val="32"/>
          <w:szCs w:val="32"/>
          <w:lang w:bidi="ar-SA"/>
        </w:rPr>
      </w:pPr>
      <w:r>
        <w:rPr>
          <w:rFonts w:ascii="方正楷体_GBK" w:eastAsia="方正楷体_GBK" w:cs="Arial" w:hint="eastAsia"/>
          <w:sz w:val="32"/>
          <w:szCs w:val="32"/>
          <w:lang w:bidi="ar-SA"/>
        </w:rPr>
        <w:t>（六）坚持争先创优，推进基层公开。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淄博、潍坊等海关在业务大厅设置政务服务窗口公示信息栏、海关公告公示栏；机场、泉城等海关现场公示海关执法人员信息；滨州等海关编制办事指南与业务办理流程手册。</w:t>
      </w:r>
    </w:p>
    <w:p>
      <w:pPr>
        <w:pStyle w:val="32"/>
        <w:adjustRightInd w:val="0"/>
        <w:snapToGrid w:val="0"/>
        <w:ind w:firstLineChars="200" w:firstLine="624"/>
        <w:rPr>
          <w:rFonts w:ascii="方正黑体_GBK" w:eastAsia="方正黑体_GBK" w:cs="楷体_GB2312" w:hint="eastAsia"/>
          <w:bCs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  <w:lang w:bidi="ar-SA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81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7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1"/>
              <w:widowControl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  <w:p>
            <w:pPr>
              <w:pStyle w:val="71"/>
              <w:widowControl/>
              <w:adjustRightInd w:val="0"/>
              <w:snapToGrid w:val="0"/>
              <w:spacing w:line="2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sz w:val="21"/>
                <w:szCs w:val="21"/>
              </w:rPr>
              <w:t>注：本年度制发公告3件，2件属规范性文件，1件属事务性公告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6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14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6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7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4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 w:hint="eastAsia"/>
                <w:sz w:val="24"/>
                <w:szCs w:val="24"/>
                <w:lang w:bidi="ar-SA"/>
              </w:rPr>
              <w:t>27</w:t>
            </w:r>
            <w:r>
              <w:rPr>
                <w:rFonts w:eastAsia="方正仿宋_GBK" w:cs="宋体"/>
                <w:sz w:val="24"/>
                <w:szCs w:val="24"/>
                <w:lang w:bidi="ar-SA"/>
              </w:rPr>
              <w:t>24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63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0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9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 w:hint="eastAsia"/>
                <w:sz w:val="24"/>
                <w:szCs w:val="24"/>
                <w:lang w:bidi="ar-SA"/>
              </w:rPr>
              <w:t>289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7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14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5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4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3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2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</w:tbl>
    <w:p>
      <w:pPr>
        <w:pStyle w:val="30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4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3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2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1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0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7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6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5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  <w:lang w:bidi="ar-SA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94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  <w:r>
              <w:rPr>
                <w:rFonts w:eastAsia="方正仿宋_GBK" w:hint="eastAsia"/>
                <w:sz w:val="24"/>
                <w:szCs w:val="24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1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8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  <w:r>
              <w:rPr>
                <w:rFonts w:eastAsia="方正仿宋_GBK" w:hint="eastAsia"/>
                <w:sz w:val="24"/>
                <w:szCs w:val="24"/>
              </w:rPr>
              <w:t>7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6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1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7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5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1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8"/>
              <w:jc w:val="center"/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7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6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5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2"/>
              <w:jc w:val="center"/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1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0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8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7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6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5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1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8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7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6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1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8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7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5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1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7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6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5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1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0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8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7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6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5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1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8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7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6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5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1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8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7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4"/>
              <w:jc w:val="center"/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1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8"/>
              <w:jc w:val="center"/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7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6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5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1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8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7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6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5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1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0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8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7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6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5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1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8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7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6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5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1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8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7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5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1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7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6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5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1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0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129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8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5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21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2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8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7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6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5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13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1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1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8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7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05"/>
              <w:widowControl/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1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00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99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9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7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  <w:lang w:bidi="ar-SA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  <w:r>
              <w:rPr>
                <w:rFonts w:eastAsia="方正仿宋_GBK" w:hint="eastAsia"/>
                <w:sz w:val="24"/>
                <w:szCs w:val="24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5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1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  <w:r>
              <w:rPr>
                <w:rFonts w:eastAsia="方正仿宋_GBK" w:hint="eastAsia"/>
                <w:sz w:val="24"/>
                <w:szCs w:val="24"/>
              </w:rPr>
              <w:t>8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9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7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6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5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3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</w:tbl>
    <w:p>
      <w:pPr>
        <w:pStyle w:val="30"/>
        <w:widowControl/>
        <w:shd w:val="clear" w:color="auto" w:fill="FFFFFF"/>
        <w:spacing w:beforeLines="50" w:before="218" w:beforeAutospacing="0" w:after="120" w:afterAutospacing="0" w:line="560" w:lineRule="exact"/>
        <w:ind w:firstLineChars="200" w:firstLine="640"/>
        <w:jc w:val="both"/>
        <w:rPr>
          <w:rFonts w:ascii="宋体" w:cs="宋体" w:hint="eastAsia"/>
          <w:szCs w:val="24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pStyle w:val="30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五、存在的主要问题及改进情况</w:t>
      </w:r>
    </w:p>
    <w:p>
      <w:pPr>
        <w:pStyle w:val="30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楷体_GBK" w:eastAsia="方正楷体_GBK" w:hint="eastAsia"/>
          <w:bCs/>
          <w:kern w:val="2"/>
          <w:sz w:val="32"/>
          <w:szCs w:val="28"/>
        </w:rPr>
      </w:pPr>
      <w:r>
        <w:rPr>
          <w:rFonts w:ascii="方正楷体_GBK" w:eastAsia="方正楷体_GBK" w:hint="eastAsia"/>
          <w:kern w:val="2"/>
          <w:sz w:val="32"/>
          <w:szCs w:val="28"/>
        </w:rPr>
        <w:t>（一）</w:t>
      </w:r>
      <w:r>
        <w:rPr>
          <w:rFonts w:eastAsia="方正楷体_GBK"/>
          <w:kern w:val="2"/>
          <w:sz w:val="32"/>
          <w:szCs w:val="28"/>
        </w:rPr>
        <w:t>2020</w:t>
      </w:r>
      <w:r>
        <w:rPr>
          <w:rFonts w:ascii="方正楷体_GBK" w:eastAsia="方正楷体_GBK" w:hint="eastAsia"/>
          <w:kern w:val="2"/>
          <w:sz w:val="32"/>
          <w:szCs w:val="28"/>
        </w:rPr>
        <w:t>年年报中所提问题整改情况。</w:t>
      </w:r>
      <w:r>
        <w:rPr>
          <w:rFonts w:ascii="方正仿宋_GBK" w:eastAsia="方正仿宋_GBK" w:hint="eastAsia"/>
          <w:kern w:val="2"/>
          <w:sz w:val="32"/>
          <w:szCs w:val="28"/>
        </w:rPr>
        <w:t>针对“</w:t>
      </w:r>
      <w:r>
        <w:rPr>
          <w:rFonts w:ascii="方正仿宋_GBK" w:eastAsia="方正仿宋_GBK" w:hint="eastAsia"/>
          <w:sz w:val="32"/>
          <w:szCs w:val="32"/>
        </w:rPr>
        <w:t>主动公开意识仍需加强，社会公众关注的政府信息公开不够全面及时的问题”：</w:t>
      </w:r>
      <w:r>
        <w:rPr>
          <w:rFonts w:ascii="方正仿宋_GBK" w:eastAsia="方正仿宋_GBK" w:cs="Arial" w:hint="eastAsia"/>
          <w:sz w:val="32"/>
          <w:szCs w:val="32"/>
          <w:lang w:bidi="ar-SA"/>
        </w:rPr>
        <w:t>对外</w:t>
      </w:r>
      <w:r>
        <w:rPr>
          <w:rFonts w:eastAsia="方正仿宋_GBK"/>
          <w:sz w:val="32"/>
          <w:szCs w:val="32"/>
        </w:rPr>
        <w:t>发布2021年版主动公开基本目录，</w:t>
      </w:r>
      <w:r>
        <w:rPr>
          <w:rFonts w:ascii="Times New Roman" w:eastAsia="方正仿宋_GBK" w:hAnsi="Times New Roman" w:hint="eastAsia"/>
          <w:sz w:val="32"/>
          <w:szCs w:val="32"/>
        </w:rPr>
        <w:t>将公开类别、事项、内容细化分解，</w:t>
      </w:r>
      <w:r>
        <w:rPr>
          <w:rFonts w:eastAsia="方正仿宋_GBK"/>
          <w:sz w:val="32"/>
          <w:szCs w:val="32"/>
        </w:rPr>
        <w:t>公开群众关心的</w:t>
      </w:r>
      <w:r>
        <w:rPr>
          <w:rFonts w:ascii="方正仿宋_GBK" w:eastAsia="方正仿宋_GBK" w:hint="eastAsia"/>
          <w:sz w:val="32"/>
          <w:szCs w:val="32"/>
        </w:rPr>
        <w:t>规范性文件、海关统计等政府信息</w:t>
      </w:r>
      <w:r>
        <w:rPr>
          <w:rFonts w:ascii="Times New Roman" w:eastAsia="方正仿宋_GBK" w:hAnsi="Times New Roman"/>
          <w:sz w:val="32"/>
          <w:szCs w:val="32"/>
        </w:rPr>
        <w:t>11类、28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项内容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，加强调度、督办，</w:t>
      </w:r>
      <w:r>
        <w:rPr>
          <w:rFonts w:ascii="Times New Roman" w:eastAsia="方正仿宋_GBK" w:hAnsi="Times New Roman" w:hint="eastAsia"/>
          <w:sz w:val="32"/>
          <w:szCs w:val="32"/>
        </w:rPr>
        <w:t>压实主体责任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。</w:t>
      </w:r>
    </w:p>
    <w:p>
      <w:pPr>
        <w:pStyle w:val="46"/>
        <w:spacing w:line="560" w:lineRule="exact"/>
        <w:ind w:firstLineChars="200" w:firstLine="640"/>
        <w:jc w:val="both"/>
        <w:rPr>
          <w:rFonts w:ascii="方正仿宋_GBK" w:eastAsia="方正仿宋_GBK" w:hint="eastAsia"/>
          <w:bCs/>
          <w:kern w:val="0"/>
          <w:sz w:val="32"/>
          <w:szCs w:val="32"/>
        </w:rPr>
      </w:pPr>
      <w:r>
        <w:rPr>
          <w:rFonts w:ascii="方正楷体_GBK" w:eastAsia="方正楷体_GBK" w:hint="eastAsia"/>
          <w:bCs/>
          <w:kern w:val="2"/>
          <w:sz w:val="32"/>
          <w:szCs w:val="28"/>
        </w:rPr>
        <w:t>（二）目前存在问题。</w:t>
      </w:r>
      <w:r>
        <w:rPr>
          <w:rFonts w:ascii="方正仿宋_GBK" w:eastAsia="方正仿宋_GBK" w:hint="eastAsia"/>
          <w:bCs/>
          <w:kern w:val="2"/>
          <w:sz w:val="32"/>
          <w:szCs w:val="28"/>
        </w:rPr>
        <w:t>一是重视程度还有待提高。部分海关对政府信息公开工作的认识不深不细，特别是对</w:t>
      </w:r>
      <w:r>
        <w:rPr>
          <w:rFonts w:ascii="方正仿宋_GBK" w:eastAsia="方正仿宋_GBK"/>
          <w:bCs/>
          <w:kern w:val="2"/>
          <w:sz w:val="32"/>
          <w:szCs w:val="28"/>
        </w:rPr>
        <w:t>依申请公开</w:t>
      </w:r>
      <w:r>
        <w:rPr>
          <w:rFonts w:ascii="方正仿宋_GBK" w:eastAsia="方正仿宋_GBK" w:hint="eastAsia"/>
          <w:bCs/>
          <w:kern w:val="2"/>
          <w:sz w:val="32"/>
          <w:szCs w:val="28"/>
        </w:rPr>
        <w:t>可能引起的复议、诉讼等法律风险缺乏足够的认识，在工作中仍需进一步加强。二是队伍能力建设还有待提升。关区政府信息公开队伍主要存在专业化、理论化水平不高等问题，亟需强化业务能力和专业素质。</w:t>
      </w:r>
    </w:p>
    <w:p>
      <w:pPr>
        <w:pStyle w:val="30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六、其他需要报告的事项</w:t>
      </w:r>
      <w:bookmarkEnd w:id="1"/>
    </w:p>
    <w:p>
      <w:pPr>
        <w:pStyle w:val="40"/>
        <w:adjustRightInd w:val="0"/>
        <w:snapToGrid w:val="0"/>
        <w:ind w:firstLineChars="200" w:firstLine="640"/>
        <w:rPr>
          <w:spacing w:val="0"/>
        </w:rPr>
      </w:pPr>
      <w:r>
        <w:rPr>
          <w:spacing w:val="0"/>
        </w:rPr>
        <w:t>无。</w:t>
      </w: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楷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  <w:font w:name="Microsoft Yahei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8"/>
      <w:framePr w:w="0" w:hRule="auto" w:wrap="around" w:vAnchor="text" w:hAnchor="margin" w:xAlign="outside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  <w:rFonts w:ascii="宋体" w:eastAsia="宋体" w:hint="eastAsia"/>
        <w:sz w:val="28"/>
        <w:szCs w:val="28"/>
      </w:rPr>
      <w:t>-</w:t>
    </w:r>
    <w:r>
      <w:rPr>
        <w:rStyle w:val="24"/>
      </w:rPr>
      <w:t xml:space="preserve"> 1 -</w:t>
    </w:r>
    <w:r>
      <w:rPr>
        <w:rStyle w:val="24"/>
      </w:rPr>
      <w:fldChar w:fldCharType="end"/>
    </w:r>
  </w:p>
  <w:p>
    <w:pPr>
      <w:pStyle w:val="18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8"/>
      <w:framePr w:w="0" w:hRule="auto" w:wrap="around" w:vAnchor="text" w:hAnchor="margin" w:xAlign="outside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</w:rPr>
      <w:t>- 1 -</w:t>
    </w:r>
    <w:r>
      <w:rPr>
        <w:rStyle w:val="24"/>
      </w:rPr>
      <w:fldChar w:fldCharType="end"/>
    </w:r>
  </w:p>
  <w:p>
    <w:pPr>
      <w:pStyle w:val="18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41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41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0FFFFF89"/>
    <w:multiLevelType w:val="singleLevel"/>
    <w:tmpl w:val="00000000"/>
    <w:lvl w:ilvl="0">
      <w:start w:val="1"/>
      <w:numFmt w:val="bullet"/>
      <w:lvlRestart w:val="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FFFFF88"/>
    <w:multiLevelType w:val="singleLevel"/>
    <w:tmpl w:val="00000000"/>
    <w:lvl w:ilvl="0">
      <w:start w:val="1"/>
      <w:numFmt w:val="decimal"/>
      <w:lvlRestart w:val="0"/>
      <w:pStyle w:val="27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oc 7"/>
    <w:basedOn w:val="0"/>
    <w:autoRedefine/>
    <w:next w:val="0"/>
    <w:pPr>
      <w:ind w:left="2520"/>
    </w:pPr>
  </w:style>
  <w:style w:type="paragraph" w:styleId="16">
    <w:name w:val="footnote text"/>
    <w:basedOn w:val="0"/>
    <w:pPr>
      <w:snapToGrid w:val="0"/>
      <w:jc w:val="left"/>
    </w:pPr>
    <w:rPr>
      <w:sz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8">
    <w:name w:val="footer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styleId="19">
    <w:name w:val="table of figures"/>
    <w:basedOn w:val="0"/>
    <w:next w:val="0"/>
  </w:style>
  <w:style w:type="paragraph" w:styleId="20">
    <w:name w:val="envelope address"/>
    <w:basedOn w:val="0"/>
    <w:pPr>
      <w:snapToGrid w:val="0"/>
      <w:ind w:left="2880"/>
    </w:pPr>
    <w:rPr>
      <w:rFonts w:ascii="Arial" w:hAnsi="Arial"/>
      <w:sz w:val="24"/>
    </w:rPr>
  </w:style>
  <w:style w:type="paragraph" w:styleId="21">
    <w:name w:val="envelope return"/>
    <w:basedOn w:val="0"/>
    <w:pPr>
      <w:snapToGrid w:val="0"/>
    </w:pPr>
    <w:rPr>
      <w:rFonts w:ascii="Arial" w:hAnsi="Arial"/>
    </w:rPr>
  </w:style>
  <w:style w:type="character" w:styleId="22">
    <w:name w:val="footnote reference"/>
    <w:basedOn w:val="10"/>
    <w:rPr>
      <w:vertAlign w:val="superscript"/>
    </w:rPr>
  </w:style>
  <w:style w:type="character" w:styleId="23">
    <w:name w:val="annotation reference"/>
    <w:basedOn w:val="10"/>
    <w:rPr>
      <w:sz w:val="21"/>
    </w:rPr>
  </w:style>
  <w:style w:type="character" w:styleId="24">
    <w:name w:val="page number"/>
    <w:basedOn w:val="10"/>
  </w:style>
  <w:style w:type="paragraph" w:styleId="25">
    <w:name w:val="table of authorities"/>
    <w:basedOn w:val="0"/>
    <w:next w:val="0"/>
    <w:pPr>
      <w:ind w:left="420"/>
    </w:pPr>
  </w:style>
  <w:style w:type="paragraph" w:styleId="26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lang w:val="en-US" w:eastAsia="zh-CN" w:bidi="ar-SA"/>
    </w:rPr>
  </w:style>
  <w:style w:type="paragraph" w:styleId="27">
    <w:name w:val="List Bullet"/>
    <w:basedOn w:val="0"/>
    <w:pPr>
      <w:numPr>
        <w:ilvl w:val="0"/>
        <w:numId w:val="1"/>
      </w:numPr>
    </w:pPr>
  </w:style>
  <w:style w:type="paragraph" w:styleId="28">
    <w:name w:val="List Number"/>
    <w:basedOn w:val="0"/>
    <w:pPr>
      <w:numPr>
        <w:ilvl w:val="0"/>
        <w:numId w:val="2"/>
      </w:numPr>
    </w:pPr>
  </w:style>
  <w:style w:type="paragraph" w:customStyle="1" w:styleId="29">
    <w:name w:val="样式 6 三号"/>
    <w:next w:val="25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0">
    <w:name w:val="样式 3 小四"/>
    <w:next w:val="27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1">
    <w:name w:val="样式 1 10 磅"/>
    <w:next w:val="18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Microsoft Yahei" w:eastAsia="宋体" w:cs="Times New Roman" w:hAnsi="Microsoft Yahei"/>
      <w:snapToGrid/>
      <w:color w:val="auto"/>
      <w:spacing w:val="0"/>
      <w:w w:val="100"/>
      <w:kern w:val="0"/>
      <w:position w:val="0"/>
      <w:sz w:val="21"/>
      <w:szCs w:val="21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32">
    <w:name w:val="样式 50 三号"/>
    <w:next w:val="15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3">
    <w:name w:val="样式 小三"/>
    <w:next w:val="1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">
    <w:name w:val="样式 5 小三"/>
    <w:next w:val="1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">
    <w:name w:val="样式 16 小三"/>
    <w:next w:val="2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">
    <w:name w:val="样式 8 小三"/>
    <w:next w:val="2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">
    <w:name w:val="样式 17 小三"/>
    <w:next w:val="2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">
    <w:name w:val="样式 12 小三"/>
    <w:next w:val="2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">
    <w:name w:val="样式 三号"/>
    <w:next w:val="28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0">
    <w:name w:val="样式 7 三号"/>
    <w:next w:val="26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1">
    <w:name w:val="样式 小五"/>
    <w:next w:val="24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42">
    <w:name w:val="样式 10 磅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Microsoft Yahei" w:eastAsia="宋体" w:cs="Times New Roman" w:hAnsi="Microsoft Yahei"/>
      <w:snapToGrid/>
      <w:color w:val="auto"/>
      <w:spacing w:val="0"/>
      <w:w w:val="100"/>
      <w:kern w:val="0"/>
      <w:position w:val="0"/>
      <w:sz w:val="21"/>
      <w:szCs w:val="21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43">
    <w:name w:val="样式 2 10 磅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Microsoft Yahei" w:eastAsia="宋体" w:cs="Times New Roman" w:hAnsi="Microsoft Yahei"/>
      <w:snapToGrid/>
      <w:color w:val="auto"/>
      <w:spacing w:val="0"/>
      <w:w w:val="100"/>
      <w:kern w:val="0"/>
      <w:position w:val="0"/>
      <w:sz w:val="21"/>
      <w:szCs w:val="21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44">
    <w:name w:val="样式 3 10 磅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Microsoft Yahei" w:eastAsia="宋体" w:cs="Times New Roman" w:hAnsi="Microsoft Yahei"/>
      <w:snapToGrid/>
      <w:color w:val="auto"/>
      <w:spacing w:val="0"/>
      <w:w w:val="100"/>
      <w:kern w:val="0"/>
      <w:position w:val="0"/>
      <w:sz w:val="21"/>
      <w:szCs w:val="21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45">
    <w:name w:val="样式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6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47">
    <w:name w:val="toc 8"/>
    <w:basedOn w:val="0"/>
    <w:autoRedefine/>
    <w:next w:val="0"/>
    <w:pPr>
      <w:ind w:left="2940"/>
    </w:pPr>
  </w:style>
  <w:style w:type="paragraph" w:styleId="48">
    <w:name w:val="annotation text"/>
    <w:basedOn w:val="0"/>
    <w:pPr>
      <w:jc w:val="left"/>
    </w:pPr>
  </w:style>
  <w:style w:type="character" w:styleId="49">
    <w:name w:val="endnote reference"/>
    <w:basedOn w:val="10"/>
    <w:rPr>
      <w:vertAlign w:val="superscript"/>
    </w:rPr>
  </w:style>
  <w:style w:type="paragraph" w:styleId="50">
    <w:name w:val="List 2"/>
    <w:basedOn w:val="0"/>
    <w:pPr>
      <w:ind w:left="840" w:hanging="420"/>
    </w:pPr>
  </w:style>
  <w:style w:type="paragraph" w:styleId="51">
    <w:name w:val="List 3"/>
    <w:basedOn w:val="0"/>
    <w:pPr>
      <w:ind w:left="1260" w:hanging="420"/>
    </w:pPr>
  </w:style>
  <w:style w:type="paragraph" w:customStyle="1" w:styleId="52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3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4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0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1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2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8">
    <w:name w:val="样式 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9">
    <w:name w:val="样式 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0">
    <w:name w:val="样式 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1">
    <w:name w:val="样式 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2">
    <w:name w:val="样式 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3">
    <w:name w:val="样式 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4">
    <w:name w:val="样式 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5">
    <w:name w:val="样式 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6">
    <w:name w:val="样式 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7">
    <w:name w:val="样式 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8">
    <w:name w:val="样式 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9">
    <w:name w:val="样式 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0">
    <w:name w:val="样式 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1">
    <w:name w:val="样式 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2">
    <w:name w:val="样式 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3">
    <w:name w:val="样式 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4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5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6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7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8">
    <w:name w:val="样式 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9">
    <w:name w:val="样式 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0">
    <w:name w:val="样式 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1">
    <w:name w:val="样式 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92">
    <w:name w:val="样式 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93">
    <w:name w:val="样式 1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94">
    <w:name w:val="样式 1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95">
    <w:name w:val="样式 1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96">
    <w:name w:val="样式 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7">
    <w:name w:val="样式 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8">
    <w:name w:val="样式 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9">
    <w:name w:val="样式 1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00">
    <w:name w:val="样式 1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01">
    <w:name w:val="样式 1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02">
    <w:name w:val="样式 1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03">
    <w:name w:val="样式 1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04">
    <w:name w:val="样式 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5">
    <w:name w:val="样式 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6">
    <w:name w:val="样式 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7">
    <w:name w:val="样式 1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08">
    <w:name w:val="样式 1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09">
    <w:name w:val="样式 2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10">
    <w:name w:val="样式 2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11">
    <w:name w:val="样式 2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12">
    <w:name w:val="样式 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3">
    <w:name w:val="样式 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4">
    <w:name w:val="样式 2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15">
    <w:name w:val="样式 2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16">
    <w:name w:val="样式 2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17">
    <w:name w:val="样式 2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18">
    <w:name w:val="样式 2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19">
    <w:name w:val="样式 2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20">
    <w:name w:val="样式 2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21">
    <w:name w:val="样式 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2">
    <w:name w:val="样式 3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23">
    <w:name w:val="样式 3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24">
    <w:name w:val="样式 3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25">
    <w:name w:val="样式 3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26">
    <w:name w:val="样式 3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27">
    <w:name w:val="样式 3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28">
    <w:name w:val="样式 3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29">
    <w:name w:val="样式 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0">
    <w:name w:val="样式 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1">
    <w:name w:val="样式 3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32">
    <w:name w:val="样式 3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33">
    <w:name w:val="样式 3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34">
    <w:name w:val="样式 4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35">
    <w:name w:val="样式 4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36">
    <w:name w:val="样式 4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37">
    <w:name w:val="样式 4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38">
    <w:name w:val="样式 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9">
    <w:name w:val="样式 4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40">
    <w:name w:val="样式 4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41">
    <w:name w:val="样式 4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42">
    <w:name w:val="样式 4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43">
    <w:name w:val="样式 4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44">
    <w:name w:val="样式 4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45">
    <w:name w:val="样式 5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46">
    <w:name w:val="样式 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7">
    <w:name w:val="样式 5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48">
    <w:name w:val="样式 5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49">
    <w:name w:val="样式 5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50">
    <w:name w:val="样式 5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51">
    <w:name w:val="样式 5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52">
    <w:name w:val="样式 5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53">
    <w:name w:val="样式 5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54">
    <w:name w:val="样式 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5">
    <w:name w:val="样式 5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56">
    <w:name w:val="样式 6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57">
    <w:name w:val="样式 6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58">
    <w:name w:val="样式 6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59">
    <w:name w:val="样式 6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60">
    <w:name w:val="样式 6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61">
    <w:name w:val="样式 6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62">
    <w:name w:val="样式 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3">
    <w:name w:val="样式 6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64">
    <w:name w:val="样式 6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65">
    <w:name w:val="样式 6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66">
    <w:name w:val="样式 6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67">
    <w:name w:val="样式 7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68">
    <w:name w:val="样式 7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69">
    <w:name w:val="样式 7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70">
    <w:name w:val="样式 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1">
    <w:name w:val="样式 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2">
    <w:name w:val="样式 7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73">
    <w:name w:val="样式 7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74">
    <w:name w:val="样式 7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75">
    <w:name w:val="样式 7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76">
    <w:name w:val="样式 7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77">
    <w:name w:val="样式 7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78">
    <w:name w:val="样式 7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79">
    <w:name w:val="样式 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0">
    <w:name w:val="样式 8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81">
    <w:name w:val="样式 8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82">
    <w:name w:val="样式 8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83">
    <w:name w:val="样式 8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84">
    <w:name w:val="样式 8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85">
    <w:name w:val="样式 8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86">
    <w:name w:val="样式 8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87">
    <w:name w:val="样式 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8">
    <w:name w:val="样式 8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89">
    <w:name w:val="样式 8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90">
    <w:name w:val="样式 8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91">
    <w:name w:val="样式 9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92">
    <w:name w:val="样式 9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93">
    <w:name w:val="样式 9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94">
    <w:name w:val="样式 9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95">
    <w:name w:val="样式 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6">
    <w:name w:val="样式 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7">
    <w:name w:val="样式 9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98">
    <w:name w:val="样式 9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99">
    <w:name w:val="样式 9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00">
    <w:name w:val="样式 9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01">
    <w:name w:val="样式 9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02">
    <w:name w:val="样式 9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03">
    <w:name w:val="样式 10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04">
    <w:name w:val="样式 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5">
    <w:name w:val="样式 10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06">
    <w:name w:val="样式 10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07">
    <w:name w:val="样式 10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08">
    <w:name w:val="样式 10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09">
    <w:name w:val="样式 10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10">
    <w:name w:val="样式 10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11">
    <w:name w:val="样式 10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12">
    <w:name w:val="样式 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3">
    <w:name w:val="样式 10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14">
    <w:name w:val="样式 10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15">
    <w:name w:val="样式 11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16">
    <w:name w:val="样式 11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17">
    <w:name w:val="样式 11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18">
    <w:name w:val="样式 11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19">
    <w:name w:val="样式 11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20">
    <w:name w:val="样式 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1">
    <w:name w:val="样式 11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22">
    <w:name w:val="样式 11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23">
    <w:name w:val="样式 11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24">
    <w:name w:val="样式 11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25">
    <w:name w:val="样式 11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26">
    <w:name w:val="样式 12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27">
    <w:name w:val="样式 12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28">
    <w:name w:val="样式 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9">
    <w:name w:val="样式 12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30">
    <w:name w:val="样式 12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31">
    <w:name w:val="样式 12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32">
    <w:name w:val="样式 12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33">
    <w:name w:val="样式 12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34">
    <w:name w:val="样式 12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35">
    <w:name w:val="样式 12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36">
    <w:name w:val="样式 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7">
    <w:name w:val="样式 12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38">
    <w:name w:val="样式 13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39">
    <w:name w:val="样式 13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40">
    <w:name w:val="样式 13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41">
    <w:name w:val="样式 13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42">
    <w:name w:val="样式 13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43">
    <w:name w:val="样式 13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44">
    <w:name w:val="样式 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5">
    <w:name w:val="样式 13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46">
    <w:name w:val="样式 13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47">
    <w:name w:val="样式 13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48">
    <w:name w:val="样式 13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49">
    <w:name w:val="样式 14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50">
    <w:name w:val="样式 14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51">
    <w:name w:val="样式 14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52">
    <w:name w:val="样式 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3">
    <w:name w:val="样式 14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54">
    <w:name w:val="样式 14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55">
    <w:name w:val="样式 14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56">
    <w:name w:val="样式 14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57">
    <w:name w:val="样式 14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58">
    <w:name w:val="样式 14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59">
    <w:name w:val="样式 14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60">
    <w:name w:val="样式 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1">
    <w:name w:val="样式 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2">
    <w:name w:val="样式 15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63">
    <w:name w:val="样式 15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64">
    <w:name w:val="样式 15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65">
    <w:name w:val="样式 15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66">
    <w:name w:val="样式 15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67">
    <w:name w:val="样式 15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68">
    <w:name w:val="样式 15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69">
    <w:name w:val="样式 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0">
    <w:name w:val="样式 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1">
    <w:name w:val="样式 15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72">
    <w:name w:val="样式 15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73">
    <w:name w:val="样式 15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74">
    <w:name w:val="样式 16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75">
    <w:name w:val="样式 16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76">
    <w:name w:val="样式 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7">
    <w:name w:val="样式 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8">
    <w:name w:val="样式 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9">
    <w:name w:val="样式 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0">
    <w:name w:val="样式 16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81">
    <w:name w:val="样式 16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82">
    <w:name w:val="样式 16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83">
    <w:name w:val="样式 16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84">
    <w:name w:val="样式 16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85">
    <w:name w:val="样式 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6">
    <w:name w:val="样式 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7">
    <w:name w:val="样式 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8">
    <w:name w:val="样式 16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89">
    <w:name w:val="样式 16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90">
    <w:name w:val="样式 16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91">
    <w:name w:val="样式 17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92">
    <w:name w:val="样式 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3">
    <w:name w:val="样式 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4">
    <w:name w:val="样式 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5">
    <w:name w:val="样式 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6">
    <w:name w:val="样式 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7">
    <w:name w:val="样式 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8">
    <w:name w:val="样式 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9">
    <w:name w:val="样式 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0">
    <w:name w:val="样式 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1">
    <w:name w:val="样式 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2">
    <w:name w:val="样式 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3">
    <w:name w:val="样式 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4">
    <w:name w:val="样式 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numbering" Target="numbering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44</TotalTime>
  <Application>Yozo_Office</Application>
  <Pages>7</Pages>
  <Words>2535</Words>
  <Characters>2696</Characters>
  <Lines>439</Lines>
  <Paragraphs>308</Paragraphs>
  <CharactersWithSpaces>2696</CharactersWithSpaces>
  <Company>J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李光</dc:creator>
  <cp:lastModifiedBy>王梁</cp:lastModifiedBy>
  <cp:revision>1</cp:revision>
  <dcterms:created xsi:type="dcterms:W3CDTF">2022-02-26T05:55:41Z</dcterms:created>
  <dcterms:modified xsi:type="dcterms:W3CDTF">2022-02-28T06:36:12Z</dcterms:modified>
</cp:coreProperties>
</file>