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9"/>
        <w:spacing w:line="640" w:lineRule="exact"/>
        <w:jc w:val="center"/>
        <w:rPr>
          <w:rFonts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eastAsia="方正小标宋_GBK" w:cs="方正小标宋_GBK" w:hint="eastAsia"/>
          <w:sz w:val="44"/>
          <w:szCs w:val="44"/>
        </w:rPr>
        <w:t>滨州海关2023年政府信息公开工作年度报告</w:t>
      </w:r>
      <w:bookmarkEnd w:id="0"/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autoSpaceDE w:val="0"/>
        <w:autoSpaceDN w:val="0"/>
        <w:spacing w:line="560" w:lineRule="exact"/>
        <w:ind w:firstLineChars="200" w:firstLine="640"/>
        <w:rPr>
          <w:bCs/>
          <w:snapToGrid w:val="0"/>
          <w:szCs w:val="32"/>
        </w:rPr>
      </w:pPr>
      <w:r>
        <w:rPr>
          <w:rFonts w:hint="eastAsia"/>
          <w:bCs/>
          <w:snapToGrid w:val="0"/>
          <w:szCs w:val="32"/>
        </w:rPr>
        <w:t>2023年，滨州海关坚持以习近平新时代中国特色社会主义思想为指导，深入贯彻落实习近平总书记重要回信精神，按照总署、总关关于全面推进政务公开工作决策部署，紧紧围绕滨州海关中心工作，以更高站位、更实举措、更严要求全面深化政务公开，</w:t>
      </w:r>
      <w:r>
        <w:rPr>
          <w:bCs/>
          <w:snapToGrid w:val="0"/>
          <w:szCs w:val="32"/>
        </w:rPr>
        <w:t>以</w:t>
      </w:r>
      <w:r>
        <w:rPr>
          <w:rFonts w:hint="eastAsia"/>
          <w:bCs/>
          <w:snapToGrid w:val="0"/>
          <w:szCs w:val="32"/>
        </w:rPr>
        <w:t>“关爱企”</w:t>
      </w:r>
      <w:r>
        <w:rPr>
          <w:bCs/>
          <w:snapToGrid w:val="0"/>
          <w:szCs w:val="32"/>
        </w:rPr>
        <w:t>为创建品牌</w:t>
      </w:r>
      <w:r>
        <w:rPr>
          <w:rFonts w:hint="eastAsia"/>
          <w:bCs/>
          <w:snapToGrid w:val="0"/>
          <w:szCs w:val="32"/>
        </w:rPr>
        <w:t>，高质量全方位推进政府信息公开工作，将政务公开与政务服务深度融合，实现政务公开服务群众、服务企业的“零距离”</w:t>
      </w:r>
      <w:r>
        <w:rPr>
          <w:bCs/>
          <w:snapToGrid w:val="0"/>
          <w:szCs w:val="32"/>
        </w:rPr>
        <w:t>。</w:t>
      </w:r>
    </w:p>
    <w:p>
      <w:pPr>
        <w:widowControl/>
        <w:spacing w:line="560" w:lineRule="exact"/>
        <w:ind w:firstLineChars="200" w:firstLine="640"/>
        <w:jc w:val="left"/>
        <w:rPr>
          <w:rFonts w:eastAsia="方正楷体_GBK"/>
          <w:snapToGrid w:val="0"/>
          <w:kern w:val="0"/>
          <w:szCs w:val="32"/>
        </w:rPr>
      </w:pPr>
      <w:r>
        <w:rPr>
          <w:rFonts w:eastAsia="方正楷体_GBK" w:hint="eastAsia"/>
          <w:snapToGrid w:val="0"/>
          <w:kern w:val="0"/>
          <w:szCs w:val="32"/>
        </w:rPr>
        <w:t>（一）持续加强主动公开力度。</w:t>
      </w:r>
    </w:p>
    <w:p>
      <w:pPr>
        <w:widowControl/>
        <w:spacing w:line="560" w:lineRule="exact"/>
        <w:ind w:firstLineChars="200" w:firstLine="640"/>
        <w:jc w:val="left"/>
        <w:rPr>
          <w:color w:val="000000"/>
          <w:szCs w:val="32"/>
        </w:rPr>
      </w:pPr>
      <w:r>
        <w:rPr>
          <w:rFonts w:cs="宋体" w:hint="eastAsia"/>
          <w:kern w:val="0"/>
          <w:szCs w:val="32"/>
        </w:rPr>
        <w:t>结合《海关领域基层政务公开标准目录》，全面梳理主动公开事项，进一步补充、细化，编制完成</w:t>
      </w:r>
      <w:r>
        <w:rPr>
          <w:szCs w:val="32"/>
        </w:rPr>
        <w:t>标准化手册和</w:t>
      </w:r>
      <w:r>
        <w:rPr>
          <w:rFonts w:hint="eastAsia"/>
          <w:szCs w:val="32"/>
        </w:rPr>
        <w:t>政务公开标准目录</w:t>
      </w:r>
      <w:r>
        <w:rPr>
          <w:rFonts w:cs="宋体" w:hint="eastAsia"/>
          <w:kern w:val="0"/>
          <w:szCs w:val="32"/>
        </w:rPr>
        <w:t>。</w:t>
      </w:r>
      <w:r>
        <w:rPr>
          <w:color w:val="000000"/>
          <w:szCs w:val="32"/>
        </w:rPr>
        <w:t>开展</w:t>
      </w:r>
      <w:r>
        <w:rPr>
          <w:rFonts w:hint="eastAsia"/>
          <w:color w:val="000000"/>
          <w:szCs w:val="32"/>
        </w:rPr>
        <w:t>“</w:t>
      </w:r>
      <w:r>
        <w:rPr>
          <w:color w:val="000000"/>
          <w:szCs w:val="32"/>
        </w:rPr>
        <w:t>关爱企</w:t>
      </w:r>
      <w:r>
        <w:rPr>
          <w:rFonts w:hint="eastAsia"/>
          <w:color w:val="000000"/>
          <w:szCs w:val="32"/>
        </w:rPr>
        <w:t>·</w:t>
      </w:r>
      <w:r>
        <w:rPr>
          <w:color w:val="000000"/>
          <w:szCs w:val="32"/>
        </w:rPr>
        <w:t>精准惠</w:t>
      </w:r>
      <w:r>
        <w:rPr>
          <w:rFonts w:hint="eastAsia"/>
          <w:color w:val="000000"/>
          <w:szCs w:val="32"/>
        </w:rPr>
        <w:t>”</w:t>
      </w:r>
      <w:r>
        <w:rPr>
          <w:color w:val="000000"/>
          <w:szCs w:val="32"/>
        </w:rPr>
        <w:t>政策宣讲16次，参加企业共计500余家次</w:t>
      </w:r>
      <w:r>
        <w:rPr>
          <w:rFonts w:hint="eastAsia"/>
          <w:color w:val="000000"/>
          <w:szCs w:val="32"/>
        </w:rPr>
        <w:t>，</w:t>
      </w:r>
      <w:r>
        <w:rPr>
          <w:rFonts w:cs="宋体" w:hint="eastAsia"/>
          <w:kern w:val="0"/>
          <w:szCs w:val="32"/>
        </w:rPr>
        <w:t>对于施行的重大政策，采取座谈会、实地走访等方式，确保公众参与。</w:t>
      </w:r>
      <w:r>
        <w:rPr>
          <w:color w:val="000000"/>
          <w:szCs w:val="32"/>
        </w:rPr>
        <w:t>发挥头雁效应，结合</w:t>
      </w:r>
      <w:r>
        <w:rPr>
          <w:rFonts w:hint="eastAsia"/>
          <w:color w:val="000000"/>
          <w:szCs w:val="32"/>
        </w:rPr>
        <w:t>“</w:t>
      </w:r>
      <w:r>
        <w:rPr>
          <w:color w:val="000000"/>
          <w:szCs w:val="32"/>
        </w:rPr>
        <w:t>关长送政策上门</w:t>
      </w:r>
      <w:r>
        <w:rPr>
          <w:rFonts w:hint="eastAsia"/>
          <w:color w:val="000000"/>
          <w:szCs w:val="32"/>
        </w:rPr>
        <w:t>”</w:t>
      </w:r>
      <w:r>
        <w:rPr>
          <w:color w:val="000000"/>
          <w:szCs w:val="32"/>
        </w:rPr>
        <w:t>活动，实现县区调研全覆盖，全年累计实地调研42次，征集意见60余项，形成调研报告13篇</w:t>
      </w:r>
      <w:r>
        <w:rPr>
          <w:rFonts w:hint="eastAsia"/>
          <w:color w:val="000000"/>
          <w:szCs w:val="32"/>
        </w:rPr>
        <w:t>。</w:t>
      </w:r>
    </w:p>
    <w:p>
      <w:pPr>
        <w:widowControl/>
        <w:spacing w:line="560" w:lineRule="exact"/>
        <w:ind w:firstLineChars="200" w:firstLine="640"/>
        <w:jc w:val="left"/>
        <w:rPr>
          <w:rFonts w:eastAsia="方正楷体_GBK"/>
          <w:snapToGrid w:val="0"/>
          <w:kern w:val="0"/>
          <w:szCs w:val="32"/>
        </w:rPr>
      </w:pPr>
      <w:r>
        <w:rPr>
          <w:rFonts w:eastAsia="方正楷体_GBK" w:hint="eastAsia"/>
          <w:snapToGrid w:val="0"/>
          <w:kern w:val="0"/>
          <w:szCs w:val="32"/>
        </w:rPr>
        <w:t>（二）持续提升依申请公开工作水平。</w:t>
      </w:r>
    </w:p>
    <w:p>
      <w:pPr>
        <w:widowControl/>
        <w:spacing w:line="560" w:lineRule="exact"/>
        <w:ind w:firstLineChars="200" w:firstLine="640"/>
        <w:jc w:val="left"/>
        <w:rPr>
          <w:rFonts w:cs="宋体"/>
          <w:kern w:val="0"/>
          <w:szCs w:val="32"/>
        </w:rPr>
      </w:pPr>
      <w:r>
        <w:rPr>
          <w:rFonts w:hint="eastAsia"/>
          <w:bCs/>
          <w:snapToGrid w:val="0"/>
          <w:szCs w:val="32"/>
        </w:rPr>
        <w:t>全面提升政府信息公开申请办理质效，</w:t>
      </w:r>
      <w:r>
        <w:rPr>
          <w:szCs w:val="32"/>
        </w:rPr>
        <w:t>印发《</w:t>
      </w:r>
      <w:r>
        <w:rPr>
          <w:rFonts w:hint="eastAsia"/>
          <w:szCs w:val="32"/>
        </w:rPr>
        <w:t>滨州</w:t>
      </w:r>
      <w:r>
        <w:rPr>
          <w:szCs w:val="32"/>
        </w:rPr>
        <w:t>海关政务公开工作操作指引》</w:t>
      </w:r>
      <w:r>
        <w:rPr>
          <w:rFonts w:hint="eastAsia"/>
          <w:szCs w:val="32"/>
        </w:rPr>
        <w:t>，</w:t>
      </w:r>
      <w:r>
        <w:rPr>
          <w:rFonts w:hint="eastAsia"/>
          <w:bCs/>
          <w:snapToGrid w:val="0"/>
          <w:szCs w:val="32"/>
        </w:rPr>
        <w:t>健全完善政府信息公开申请登记、审核、办理、答复、归档制度，确保依申请公开答复合法合规，进一步更新完善政府信息公开申请指南内容，不断提高群众办理政府信息公开申请的便捷度和实效性，全年收到</w:t>
      </w:r>
      <w:r>
        <w:rPr>
          <w:rFonts w:cs="宋体" w:hint="eastAsia"/>
          <w:kern w:val="0"/>
          <w:szCs w:val="32"/>
        </w:rPr>
        <w:t>依申请公开政府信息</w:t>
      </w:r>
      <w:r>
        <w:rPr>
          <w:rFonts w:eastAsia="宋体" w:hint="eastAsia"/>
          <w:kern w:val="0"/>
          <w:szCs w:val="32"/>
        </w:rPr>
        <w:t>1</w:t>
      </w:r>
      <w:r>
        <w:rPr>
          <w:rFonts w:cs="宋体" w:hint="eastAsia"/>
          <w:kern w:val="0"/>
          <w:szCs w:val="32"/>
        </w:rPr>
        <w:t>件，办结</w:t>
      </w:r>
      <w:r>
        <w:rPr>
          <w:rFonts w:eastAsia="宋体" w:hint="eastAsia"/>
          <w:kern w:val="0"/>
          <w:szCs w:val="32"/>
        </w:rPr>
        <w:t>1</w:t>
      </w:r>
      <w:r>
        <w:rPr>
          <w:rFonts w:cs="宋体" w:hint="eastAsia"/>
          <w:kern w:val="0"/>
          <w:szCs w:val="32"/>
        </w:rPr>
        <w:t>件。</w:t>
      </w:r>
    </w:p>
    <w:p>
      <w:pPr>
        <w:pStyle w:val="2"/>
        <w:spacing w:before="0" w:beforeAutospacing="0" w:after="0" w:afterAutospacing="0" w:line="560" w:lineRule="exact"/>
        <w:ind w:firstLineChars="200" w:firstLine="640"/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 w:val="0"/>
          <w:bCs w:val="0"/>
          <w:snapToGrid w:val="0"/>
          <w:sz w:val="32"/>
          <w:szCs w:val="32"/>
        </w:rPr>
        <w:t>（三）持续推进政务公开多元化</w:t>
      </w:r>
      <w:r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bCs/>
          <w:snapToGrid w:val="0"/>
          <w:szCs w:val="32"/>
        </w:rPr>
      </w:pPr>
      <w:r>
        <w:rPr>
          <w:rFonts w:hint="eastAsia"/>
          <w:bCs/>
          <w:snapToGrid w:val="0"/>
          <w:szCs w:val="32"/>
        </w:rPr>
        <w:t>丰富政策解读形式，采用大屏滚动播放、智慧屏宣传等方式对企业和群众关心关注的重要政策进行解读，印刷政策宣传手册500册，提高政策知晓率。将惠企政策宣传解读到位，建立沟通微信群、打造普法宣传直播间、健全“政务公开热线+业务咨询热线”服务体系。积极打造“关爱企·精准惠”政策宣讲线上直播间，主动推介海关出台的便民利企好政策。自直播间落地以来，宣讲政策100余条，惠及企业100余家。</w:t>
      </w:r>
    </w:p>
    <w:p>
      <w:pPr>
        <w:widowControl/>
        <w:spacing w:line="560" w:lineRule="exact"/>
        <w:ind w:firstLineChars="200" w:firstLine="640"/>
        <w:jc w:val="left"/>
        <w:rPr>
          <w:rFonts w:cs="宋体"/>
          <w:kern w:val="0"/>
          <w:szCs w:val="32"/>
        </w:rPr>
      </w:pPr>
      <w:r>
        <w:rPr>
          <w:rFonts w:eastAsia="方正楷体_GBK" w:hint="eastAsia"/>
          <w:snapToGrid w:val="0"/>
          <w:kern w:val="0"/>
          <w:szCs w:val="32"/>
        </w:rPr>
        <w:t>（四）持续优化监督保障。</w:t>
      </w:r>
    </w:p>
    <w:p>
      <w:pPr>
        <w:pStyle w:val="2"/>
        <w:spacing w:before="0" w:beforeAutospacing="0" w:after="0" w:afterAutospacing="0" w:line="560" w:lineRule="exact"/>
        <w:ind w:firstLineChars="200" w:firstLine="640"/>
        <w:rPr>
          <w:rFonts w:ascii="Times New Roman" w:eastAsia="方正仿宋_GBK" w:cs="Times New Roman" w:hAnsi="Times New Roman"/>
          <w:b w:val="0"/>
          <w:snapToGrid w:val="0"/>
          <w:kern w:val="2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b w:val="0"/>
          <w:snapToGrid w:val="0"/>
          <w:kern w:val="2"/>
          <w:sz w:val="32"/>
          <w:szCs w:val="32"/>
        </w:rPr>
        <w:t>围绕总关的要求和安排，滨州海关对基层政务公开标准化规范化工作做了详实部署，制发《滨州海关关于基层政务公开标准化规范化建设推进方案》。认真做好业务培训、日常考核和“回头看”，督促各业务科室做到常规性工作定期公开、临时性工作随时公开，及时更新年内机构设置与科级机构主要职责；主动公布监督投诉电话，受理政府信息公开方面的监督投诉，未发生责任追究情况。</w:t>
      </w:r>
    </w:p>
    <w:p>
      <w:pPr>
        <w:pStyle w:val="33"/>
        <w:adjustRightInd w:val="0"/>
        <w:snapToGrid w:val="0"/>
        <w:ind w:firstLineChars="200" w:firstLine="624"/>
        <w:rPr>
          <w:rFonts w:eastAsia="方正黑体_GBK" w:cs="楷体_GB2312"/>
          <w:bCs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17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rFonts w:cs="宋体"/>
          <w:szCs w:val="24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41"/>
        <w:adjustRightInd w:val="0"/>
        <w:snapToGrid w:val="0"/>
        <w:ind w:firstLineChars="200" w:firstLine="624"/>
        <w:rPr>
          <w:rFonts w:eastAsia="方正楷体_GBK"/>
          <w:bCs/>
        </w:rPr>
      </w:pPr>
      <w:r>
        <w:rPr>
          <w:rFonts w:eastAsia="方正楷体_GBK" w:hint="eastAsia"/>
          <w:bCs/>
        </w:rPr>
        <w:t>（一）2022年年报中所提问题整改情况。</w:t>
      </w:r>
    </w:p>
    <w:p>
      <w:pPr>
        <w:pStyle w:val="75"/>
        <w:adjustRightInd w:val="0"/>
        <w:snapToGrid w:val="0"/>
        <w:ind w:firstLineChars="200" w:firstLine="640"/>
        <w:rPr>
          <w:bCs/>
          <w:snapToGrid w:val="0"/>
          <w:spacing w:val="0"/>
          <w:szCs w:val="32"/>
        </w:rPr>
      </w:pPr>
      <w:r>
        <w:rPr>
          <w:rFonts w:hint="eastAsia"/>
          <w:bCs/>
          <w:snapToGrid w:val="0"/>
          <w:spacing w:val="0"/>
          <w:szCs w:val="32"/>
        </w:rPr>
        <w:t>2</w:t>
      </w:r>
      <w:r>
        <w:rPr>
          <w:bCs/>
          <w:snapToGrid w:val="0"/>
          <w:spacing w:val="0"/>
          <w:szCs w:val="32"/>
        </w:rPr>
        <w:t>02</w:t>
      </w:r>
      <w:r>
        <w:rPr>
          <w:rFonts w:hint="eastAsia"/>
          <w:bCs/>
          <w:snapToGrid w:val="0"/>
          <w:spacing w:val="0"/>
          <w:szCs w:val="32"/>
        </w:rPr>
        <w:t>2</w:t>
      </w:r>
      <w:r>
        <w:rPr>
          <w:bCs/>
          <w:snapToGrid w:val="0"/>
          <w:spacing w:val="0"/>
          <w:szCs w:val="32"/>
        </w:rPr>
        <w:t>年度，我关政府信息公开工作</w:t>
      </w:r>
      <w:r>
        <w:rPr>
          <w:rFonts w:hint="eastAsia"/>
          <w:bCs/>
          <w:snapToGrid w:val="0"/>
          <w:spacing w:val="0"/>
          <w:szCs w:val="32"/>
        </w:rPr>
        <w:t>存在缺少专业技术人才、主动公开意识</w:t>
      </w:r>
      <w:r>
        <w:rPr>
          <w:bCs/>
          <w:snapToGrid w:val="0"/>
          <w:spacing w:val="0"/>
          <w:szCs w:val="32"/>
        </w:rPr>
        <w:t>不足</w:t>
      </w:r>
      <w:r>
        <w:rPr>
          <w:rFonts w:hint="eastAsia"/>
          <w:bCs/>
          <w:snapToGrid w:val="0"/>
          <w:spacing w:val="0"/>
          <w:szCs w:val="32"/>
        </w:rPr>
        <w:t>的情况</w:t>
      </w:r>
      <w:r>
        <w:rPr>
          <w:bCs/>
          <w:snapToGrid w:val="0"/>
          <w:spacing w:val="0"/>
          <w:szCs w:val="32"/>
        </w:rPr>
        <w:t>。</w:t>
      </w:r>
    </w:p>
    <w:p>
      <w:pPr>
        <w:pStyle w:val="75"/>
        <w:adjustRightInd w:val="0"/>
        <w:snapToGrid w:val="0"/>
        <w:ind w:firstLineChars="200" w:firstLine="624"/>
        <w:rPr>
          <w:bCs/>
          <w:snapToGrid w:val="0"/>
          <w:szCs w:val="32"/>
        </w:rPr>
      </w:pPr>
      <w:r>
        <w:rPr>
          <w:bCs/>
          <w:snapToGrid w:val="0"/>
          <w:szCs w:val="32"/>
        </w:rPr>
        <w:t>针对以上不足，202</w:t>
      </w:r>
      <w:r>
        <w:rPr>
          <w:rFonts w:hint="eastAsia"/>
          <w:bCs/>
          <w:snapToGrid w:val="0"/>
          <w:szCs w:val="32"/>
        </w:rPr>
        <w:t>3</w:t>
      </w:r>
      <w:r>
        <w:rPr>
          <w:bCs/>
          <w:snapToGrid w:val="0"/>
          <w:szCs w:val="32"/>
        </w:rPr>
        <w:t>年，我关坚持问题导向，进一步规范公开内容，不断提高公开质量。一是</w:t>
      </w:r>
      <w:r>
        <w:rPr>
          <w:rFonts w:hint="eastAsia"/>
          <w:bCs/>
          <w:snapToGrid w:val="0"/>
          <w:szCs w:val="32"/>
        </w:rPr>
        <w:t>全过程推进政务公开。党委书记</w:t>
      </w:r>
      <w:r>
        <w:rPr>
          <w:bCs/>
          <w:snapToGrid w:val="0"/>
          <w:szCs w:val="32"/>
        </w:rPr>
        <w:t>定期专题听取政务</w:t>
      </w:r>
      <w:r>
        <w:rPr>
          <w:rFonts w:hint="eastAsia"/>
          <w:bCs/>
          <w:snapToGrid w:val="0"/>
          <w:szCs w:val="32"/>
        </w:rPr>
        <w:t>政府</w:t>
      </w:r>
      <w:r>
        <w:rPr>
          <w:bCs/>
          <w:snapToGrid w:val="0"/>
          <w:szCs w:val="32"/>
        </w:rPr>
        <w:t>信息公开工作开展情况汇报</w:t>
      </w:r>
      <w:r>
        <w:rPr>
          <w:rFonts w:hint="eastAsia"/>
          <w:bCs/>
          <w:snapToGrid w:val="0"/>
          <w:szCs w:val="32"/>
        </w:rPr>
        <w:t>，完善公开内容、改进公开方式，打通政务公开的“最后一公里”。二是全领域规范运行。围绕各领域的公开内容、标准、方式，</w:t>
      </w:r>
      <w:r>
        <w:rPr>
          <w:bCs/>
          <w:snapToGrid w:val="0"/>
          <w:szCs w:val="32"/>
        </w:rPr>
        <w:t>积极组织开展政府信息公开业务学习和培训，进一步增强干部职工政府信息公开责任意识，努力提高全局政府信息公开业务水平。</w:t>
      </w:r>
      <w:r>
        <w:rPr>
          <w:rFonts w:hint="eastAsia"/>
          <w:bCs/>
          <w:snapToGrid w:val="0"/>
          <w:szCs w:val="32"/>
        </w:rPr>
        <w:t>三是全维度构建体系。健全完善公开、解读、回应、互动、平台有序衔接的公开体系，让群众了解政策内容、理解施政目标、参与执行过程，最大限度增进政民企协同协作。四是全流程优化政务服务。坚持把公开的要求贯穿于政务服务各个环节，对</w:t>
      </w:r>
      <w:r>
        <w:rPr>
          <w:bCs/>
          <w:snapToGrid w:val="0"/>
          <w:szCs w:val="32"/>
        </w:rPr>
        <w:t>各科室政务公开工作进行通报整改，认真梳理完善相关职能信息，</w:t>
      </w:r>
      <w:r>
        <w:rPr>
          <w:rFonts w:hint="eastAsia"/>
          <w:bCs/>
          <w:snapToGrid w:val="0"/>
          <w:szCs w:val="32"/>
        </w:rPr>
        <w:t>使公开与服务相互促进、相得益彰</w:t>
      </w:r>
      <w:r>
        <w:rPr>
          <w:bCs/>
          <w:snapToGrid w:val="0"/>
          <w:szCs w:val="32"/>
        </w:rPr>
        <w:t>。</w:t>
      </w:r>
    </w:p>
    <w:p>
      <w:pPr>
        <w:pStyle w:val="34"/>
        <w:adjustRightInd w:val="0"/>
        <w:snapToGrid w:val="0"/>
        <w:ind w:firstLineChars="200" w:firstLine="624"/>
      </w:pPr>
      <w:r>
        <w:rPr>
          <w:rFonts w:eastAsia="方正楷体_GBK" w:hint="eastAsia"/>
          <w:bCs/>
        </w:rPr>
        <w:t>（二）目前存在问题。</w:t>
      </w:r>
    </w:p>
    <w:p>
      <w:pPr>
        <w:pStyle w:val="75"/>
        <w:adjustRightInd w:val="0"/>
        <w:snapToGrid w:val="0"/>
        <w:ind w:firstLineChars="200" w:firstLine="624"/>
        <w:rPr>
          <w:rFonts w:cs="楷体_GB2312"/>
          <w:bCs/>
        </w:rPr>
      </w:pPr>
      <w:r>
        <w:rPr>
          <w:rFonts w:cs="楷体_GB2312"/>
          <w:bCs/>
        </w:rPr>
        <w:t>目前我关在政府信息公开工作中还存在以下不足：</w:t>
      </w:r>
      <w:r>
        <w:rPr>
          <w:rFonts w:cs="楷体_GB2312" w:hint="eastAsia"/>
          <w:bCs/>
        </w:rPr>
        <w:t>一是政务公开高质量建设水平有待进一步提升，以公开促落实、促服务的功能效应仍需进一步扩大；</w:t>
      </w:r>
      <w:r>
        <w:rPr>
          <w:rFonts w:cs="楷体_GB2312"/>
          <w:bCs/>
        </w:rPr>
        <w:t>二是政务公开形式不够创新，新媒体宣传途径不够多样，政务信息内容可读性不强感染力不够。</w:t>
      </w:r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仿宋_GBK" w:cs="宋体"/>
          <w:sz w:val="32"/>
          <w:szCs w:val="32"/>
        </w:rPr>
      </w:pPr>
      <w:bookmarkStart w:id="2" w:name="_GoBack"/>
      <w:bookmarkEnd w:id="2"/>
      <w:r>
        <w:rPr>
          <w:rFonts w:eastAsia="方正仿宋_GBK" w:cs="宋体"/>
          <w:sz w:val="32"/>
          <w:szCs w:val="32"/>
        </w:rPr>
        <w:t>滨州海关2023年无收取信息处理费情况</w:t>
      </w:r>
      <w:r>
        <w:rPr>
          <w:rFonts w:eastAsia="方正仿宋_GBK" w:cs="宋体" w:hint="eastAsia"/>
          <w:sz w:val="32"/>
          <w:szCs w:val="32"/>
        </w:rPr>
        <w:t>。</w:t>
      </w:r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仿宋_GBK" w:cs="宋体"/>
          <w:sz w:val="32"/>
          <w:szCs w:val="32"/>
        </w:rPr>
      </w:pPr>
      <w:r>
        <w:rPr>
          <w:rFonts w:eastAsia="方正仿宋_GBK" w:cs="宋体"/>
          <w:sz w:val="32"/>
          <w:szCs w:val="32"/>
        </w:rPr>
        <w:t>特此报告。</w:t>
      </w:r>
    </w:p>
    <w:p>
      <w:pPr>
        <w:pStyle w:val="40"/>
        <w:adjustRightInd w:val="0"/>
        <w:snapToGrid w:val="0"/>
        <w:ind w:firstLineChars="1750" w:firstLine="5600"/>
        <w:rPr>
          <w:rFonts w:cs="宋体"/>
          <w:spacing w:val="0"/>
          <w:kern w:val="0"/>
          <w:szCs w:val="32"/>
        </w:rPr>
      </w:pPr>
    </w:p>
    <w:p>
      <w:pPr>
        <w:pStyle w:val="40"/>
        <w:adjustRightInd w:val="0"/>
        <w:snapToGrid w:val="0"/>
        <w:ind w:firstLineChars="1750" w:firstLine="5600"/>
        <w:rPr>
          <w:rFonts w:cs="宋体"/>
          <w:spacing w:val="0"/>
          <w:kern w:val="0"/>
          <w:szCs w:val="32"/>
        </w:rPr>
      </w:pPr>
    </w:p>
    <w:p>
      <w:pPr>
        <w:pStyle w:val="40"/>
        <w:adjustRightInd w:val="0"/>
        <w:snapToGrid w:val="0"/>
        <w:ind w:firstLineChars="1750" w:firstLine="5600"/>
        <w:rPr>
          <w:rFonts w:cs="宋体"/>
          <w:spacing w:val="0"/>
          <w:kern w:val="0"/>
          <w:szCs w:val="32"/>
        </w:rPr>
      </w:pPr>
    </w:p>
    <w:p>
      <w:pPr>
        <w:pStyle w:val="16"/>
        <w:tabs>
          <w:tab w:val="center" w:pos="4153"/>
          <w:tab w:val="right" w:pos="8306"/>
        </w:tabs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variable"/>
    <w:sig w:usb0="00000000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- 1 -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- 2 -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C6B7F873"/>
    <w:multiLevelType w:val="singleLevel"/>
    <w:tmpl w:val="DC30C57E"/>
    <w:lvl w:ilvl="0">
      <w:start w:val="1"/>
      <w:numFmt w:val="decimal"/>
      <w:lvlRestart w:val="0"/>
      <w:pStyle w:val="51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styleId="51">
    <w:name w:val="List Number 2"/>
    <w:basedOn w:val="0"/>
    <w:pPr>
      <w:numPr>
        <w:ilvl w:val="0"/>
        <w:numId w:val="1"/>
      </w:numPr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4 小四"/>
    <w:pPr>
      <w:widowControl w:val="0"/>
      <w:spacing w:line="560" w:lineRule="exact"/>
      <w:ind w:firstLineChars="200" w:firstLine="200"/>
      <w:jc w:val="both"/>
    </w:pPr>
    <w:rPr>
      <w:rFonts w:ascii="Times New Roman" w:eastAsia="仿宋" w:cs="Times New Roman" w:hAnsi="Times New Roman"/>
      <w:kern w:val="2"/>
      <w:sz w:val="24"/>
      <w:szCs w:val="24"/>
      <w:lang w:val="en-US" w:eastAsia="zh-CN" w:bidi="ar-SA"/>
    </w:rPr>
  </w:style>
  <w:style w:type="paragraph" w:customStyle="1" w:styleId="69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5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72">
    <w:name w:val="样式 7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73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">
    <w:name w:val="样式 9 小四"/>
    <w:pPr>
      <w:widowControl w:val="0"/>
      <w:spacing w:line="560" w:lineRule="exact"/>
      <w:ind w:firstLineChars="200" w:firstLine="200"/>
      <w:jc w:val="both"/>
    </w:pPr>
    <w:rPr>
      <w:rFonts w:ascii="Times New Roman" w:eastAsia="仿宋" w:cs="Times New Roman" w:hAnsi="Times New Roman"/>
      <w:kern w:val="2"/>
      <w:sz w:val="24"/>
      <w:szCs w:val="24"/>
      <w:lang w:val="en-US" w:eastAsia="zh-CN" w:bidi="ar-SA"/>
    </w:rPr>
  </w:style>
  <w:style w:type="paragraph" w:customStyle="1" w:styleId="75">
    <w:name w:val="样式 1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6">
    <w:name w:val="样式 1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7">
    <w:name w:val="样式 1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8">
    <w:name w:val="样式 1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9">
    <w:name w:val="样式 1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80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81">
    <w:name w:val="无间隔1"/>
    <w:pPr>
      <w:widowControl w:val="0"/>
      <w:jc w:val="center"/>
    </w:pPr>
    <w:rPr>
      <w:rFonts w:ascii="Calibri" w:eastAsia="楷体" w:cs="Arial" w:hAnsi="Calibri"/>
      <w:kern w:val="2"/>
      <w:sz w:val="32"/>
      <w:szCs w:val="22"/>
      <w:lang w:val="en-US" w:eastAsia="zh-CN" w:bidi="ar-SA"/>
    </w:rPr>
  </w:style>
  <w:style w:type="paragraph" w:customStyle="1" w:styleId="82">
    <w:name w:val="样式 6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character" w:customStyle="1" w:styleId="83">
    <w:name w:val="im-content1"/>
    <w:basedOn w:val="10"/>
    <w:rPr>
      <w:vanish w:val="0"/>
      <w:color w:val="000000"/>
    </w:rPr>
  </w:style>
  <w:style w:type="character" w:customStyle="1" w:styleId="84">
    <w:name w:val="s2"/>
    <w:basedOn w:val="10"/>
  </w:style>
  <w:style w:type="paragraph" w:styleId="85">
    <w:name w:val="Balloon Text"/>
    <w:basedOn w:val="0"/>
    <w:rPr>
      <w:sz w:val="18"/>
      <w:szCs w:val="18"/>
    </w:rPr>
  </w:style>
  <w:style w:type="paragraph" w:customStyle="1" w:styleId="86">
    <w:name w:val="列出段落1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7</Pages>
  <Words>2409</Words>
  <Characters>2460</Characters>
  <Lines>434</Lines>
  <Paragraphs>310</Paragraphs>
  <CharactersWithSpaces>2460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常天辰</cp:lastModifiedBy>
  <cp:revision>2</cp:revision>
  <cp:lastPrinted>2021-11-30T07:27:00Z</cp:lastPrinted>
  <dcterms:created xsi:type="dcterms:W3CDTF">2024-06-12T08:33:00Z</dcterms:created>
  <dcterms:modified xsi:type="dcterms:W3CDTF">2025-06-18T06:30:56Z</dcterms:modified>
</cp:coreProperties>
</file>