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1"/>
        <w:jc w:val="center"/>
        <w:rPr>
          <w:rFonts w:eastAsia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eastAsia="方正小标宋_GBK"/>
          <w:sz w:val="44"/>
          <w:szCs w:val="44"/>
        </w:rPr>
        <w:t>滨州海关2025年政府信息公开工作年度报告</w:t>
      </w:r>
      <w:bookmarkEnd w:id="0"/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bCs/>
          <w:snapToGrid w:val="0"/>
          <w:kern w:val="2"/>
          <w:sz w:val="32"/>
          <w:szCs w:val="32"/>
        </w:rPr>
      </w:pPr>
      <w:r>
        <w:rPr>
          <w:rFonts w:eastAsia="方正仿宋_GBK"/>
          <w:bCs/>
          <w:snapToGrid w:val="0"/>
          <w:kern w:val="2"/>
          <w:sz w:val="32"/>
          <w:szCs w:val="32"/>
        </w:rPr>
        <w:t>本报告根据《中华人民共和国政府信息公开条例》、《国务院办公厅政府信息与政务公开办公室关于印发〈中华人民共和国政府信息公开工作年度报告格式〉的通知》（国办公开办函〔2021〕30号）等有关规定，结合202</w:t>
      </w:r>
      <w:r>
        <w:rPr>
          <w:rFonts w:eastAsia="方正仿宋_GBK" w:hint="eastAsia"/>
          <w:bCs/>
          <w:snapToGrid w:val="0"/>
          <w:kern w:val="2"/>
          <w:sz w:val="32"/>
          <w:szCs w:val="32"/>
        </w:rPr>
        <w:t>5</w:t>
      </w:r>
      <w:r>
        <w:rPr>
          <w:rFonts w:eastAsia="方正仿宋_GBK"/>
          <w:bCs/>
          <w:snapToGrid w:val="0"/>
          <w:kern w:val="2"/>
          <w:sz w:val="32"/>
          <w:szCs w:val="32"/>
        </w:rPr>
        <w:t>年滨州海关政府信息公开工作情况编制而成。本报告所列数据的统计期限为202</w:t>
      </w:r>
      <w:r>
        <w:rPr>
          <w:rFonts w:eastAsia="方正仿宋_GBK" w:hint="eastAsia"/>
          <w:bCs/>
          <w:snapToGrid w:val="0"/>
          <w:kern w:val="2"/>
          <w:sz w:val="32"/>
          <w:szCs w:val="32"/>
        </w:rPr>
        <w:t>5</w:t>
      </w:r>
      <w:r>
        <w:rPr>
          <w:rFonts w:eastAsia="方正仿宋_GBK"/>
          <w:bCs/>
          <w:snapToGrid w:val="0"/>
          <w:kern w:val="2"/>
          <w:sz w:val="32"/>
          <w:szCs w:val="32"/>
        </w:rPr>
        <w:t>年1月1日至202</w:t>
      </w:r>
      <w:r>
        <w:rPr>
          <w:rFonts w:eastAsia="方正仿宋_GBK" w:hint="eastAsia"/>
          <w:bCs/>
          <w:snapToGrid w:val="0"/>
          <w:kern w:val="2"/>
          <w:sz w:val="32"/>
          <w:szCs w:val="32"/>
        </w:rPr>
        <w:t>5</w:t>
      </w:r>
      <w:r>
        <w:rPr>
          <w:rFonts w:eastAsia="方正仿宋_GBK"/>
          <w:bCs/>
          <w:snapToGrid w:val="0"/>
          <w:kern w:val="2"/>
          <w:sz w:val="32"/>
          <w:szCs w:val="32"/>
        </w:rPr>
        <w:t>年12月31日。如对本报告有任何疑问，请与滨州海关办公室联系（地址：滨州市渤海十六路637号，邮政编码：256600，联系电话：0543-8191628）。</w:t>
      </w:r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widowControl/>
        <w:spacing w:line="560" w:lineRule="exact"/>
        <w:ind w:left="640"/>
        <w:jc w:val="left"/>
        <w:rPr>
          <w:rFonts w:eastAsia="方正楷体_GBK"/>
          <w:snapToGrid w:val="0"/>
          <w:kern w:val="0"/>
          <w:szCs w:val="32"/>
        </w:rPr>
      </w:pPr>
      <w:r>
        <w:rPr>
          <w:rFonts w:eastAsia="方正楷体_GBK" w:hint="eastAsia"/>
          <w:snapToGrid w:val="0"/>
          <w:kern w:val="0"/>
          <w:szCs w:val="32"/>
        </w:rPr>
        <w:t>（</w:t>
      </w:r>
      <w:r>
        <w:rPr>
          <w:rFonts w:eastAsia="方正楷体_GBK"/>
          <w:snapToGrid w:val="0"/>
          <w:kern w:val="0"/>
          <w:szCs w:val="32"/>
        </w:rPr>
        <w:t>一</w:t>
      </w:r>
      <w:r>
        <w:rPr>
          <w:rFonts w:eastAsia="方正楷体_GBK" w:hint="eastAsia"/>
          <w:snapToGrid w:val="0"/>
          <w:kern w:val="0"/>
          <w:szCs w:val="32"/>
        </w:rPr>
        <w:t>）</w:t>
      </w:r>
      <w:r>
        <w:rPr>
          <w:rFonts w:eastAsia="方正楷体_GBK"/>
          <w:snapToGrid w:val="0"/>
          <w:kern w:val="0"/>
          <w:szCs w:val="32"/>
        </w:rPr>
        <w:t>主动公开</w:t>
      </w:r>
      <w:r>
        <w:rPr>
          <w:rFonts w:eastAsia="方正楷体_GBK" w:hint="eastAsia"/>
          <w:snapToGrid w:val="0"/>
          <w:kern w:val="0"/>
          <w:szCs w:val="32"/>
        </w:rPr>
        <w:t>。</w:t>
      </w:r>
    </w:p>
    <w:p>
      <w:pPr>
        <w:widowControl/>
        <w:spacing w:line="560" w:lineRule="exact"/>
        <w:ind w:firstLineChars="200" w:firstLine="640"/>
        <w:jc w:val="left"/>
        <w:rPr>
          <w:rFonts w:cs="宋体"/>
          <w:kern w:val="0"/>
          <w:szCs w:val="32"/>
        </w:rPr>
      </w:pPr>
      <w:r>
        <w:rPr>
          <w:rFonts w:cs="宋体" w:hint="eastAsia"/>
          <w:kern w:val="0"/>
          <w:szCs w:val="32"/>
        </w:rPr>
        <w:t>紧紧围绕企业群众办事需求，聚焦办事机构信息、行政执法信息、财政预决算、“双随机、一公开”等重点领域，加大主动公开力度，提高工作透明度。202</w:t>
      </w:r>
      <w:r>
        <w:rPr>
          <w:rFonts w:cs="宋体"/>
          <w:kern w:val="0"/>
          <w:szCs w:val="32"/>
        </w:rPr>
        <w:t>5</w:t>
      </w:r>
      <w:r>
        <w:rPr>
          <w:rFonts w:cs="宋体" w:hint="eastAsia"/>
          <w:kern w:val="0"/>
          <w:szCs w:val="32"/>
        </w:rPr>
        <w:t>年通过</w:t>
      </w:r>
      <w:r>
        <w:rPr>
          <w:rFonts w:cs="宋体"/>
          <w:kern w:val="0"/>
          <w:szCs w:val="32"/>
        </w:rPr>
        <w:t>济南</w:t>
      </w:r>
      <w:r>
        <w:rPr>
          <w:rFonts w:cs="宋体" w:hint="eastAsia"/>
          <w:kern w:val="0"/>
          <w:szCs w:val="32"/>
        </w:rPr>
        <w:t>海关门户网站发布主动公开信息</w:t>
      </w:r>
      <w:r>
        <w:rPr>
          <w:rFonts w:cs="宋体"/>
          <w:kern w:val="0"/>
          <w:szCs w:val="32"/>
        </w:rPr>
        <w:t>63</w:t>
      </w:r>
      <w:r>
        <w:rPr>
          <w:rFonts w:cs="宋体" w:hint="eastAsia"/>
          <w:kern w:val="0"/>
          <w:szCs w:val="32"/>
        </w:rPr>
        <w:t>条，主动公开信息还通过现场公示栏、电子屏、政策宣讲会等平台发布。</w:t>
      </w:r>
    </w:p>
    <w:p>
      <w:pPr>
        <w:widowControl/>
        <w:spacing w:line="560" w:lineRule="exact"/>
        <w:ind w:firstLineChars="200" w:firstLine="640"/>
        <w:jc w:val="left"/>
        <w:rPr>
          <w:rFonts w:eastAsia="方正楷体_GBK"/>
          <w:snapToGrid w:val="0"/>
          <w:kern w:val="0"/>
          <w:szCs w:val="32"/>
        </w:rPr>
      </w:pPr>
      <w:r>
        <w:rPr>
          <w:rFonts w:eastAsia="方正楷体_GBK" w:hint="eastAsia"/>
          <w:snapToGrid w:val="0"/>
          <w:kern w:val="0"/>
          <w:szCs w:val="32"/>
        </w:rPr>
        <w:t>（二）</w:t>
      </w:r>
      <w:r>
        <w:rPr>
          <w:rFonts w:eastAsia="方正楷体_GBK"/>
          <w:snapToGrid w:val="0"/>
          <w:kern w:val="0"/>
          <w:szCs w:val="32"/>
        </w:rPr>
        <w:t>依申请公开</w:t>
      </w:r>
      <w:r>
        <w:rPr>
          <w:rFonts w:eastAsia="方正楷体_GBK" w:hint="eastAsia"/>
          <w:snapToGrid w:val="0"/>
          <w:kern w:val="0"/>
          <w:szCs w:val="32"/>
        </w:rPr>
        <w:t>。</w:t>
      </w:r>
    </w:p>
    <w:p>
      <w:pPr>
        <w:widowControl/>
        <w:spacing w:line="560" w:lineRule="exact"/>
        <w:ind w:firstLineChars="200" w:firstLine="640"/>
        <w:jc w:val="left"/>
        <w:rPr>
          <w:rFonts w:cs="宋体"/>
          <w:kern w:val="0"/>
          <w:szCs w:val="32"/>
        </w:rPr>
      </w:pPr>
      <w:r>
        <w:rPr>
          <w:rFonts w:cs="宋体"/>
          <w:kern w:val="0"/>
          <w:szCs w:val="32"/>
        </w:rPr>
        <w:t>持续推动依申请公开工作程序规范化，明确登记、审核、办理、答复、归档等工作流程，严格把握不予公开范围，严格信息公开审查，切实做到以公开为常态、不公开为例外。</w:t>
      </w:r>
      <w:r>
        <w:rPr>
          <w:rFonts w:cs="宋体" w:hint="eastAsia"/>
          <w:kern w:val="0"/>
          <w:szCs w:val="32"/>
        </w:rPr>
        <w:t>2025年，滨州海关未收到依申请公开有关事项。</w:t>
      </w:r>
    </w:p>
    <w:p>
      <w:pPr>
        <w:pStyle w:val="2"/>
        <w:spacing w:before="0" w:beforeAutospacing="0" w:after="0" w:afterAutospacing="0" w:line="560" w:lineRule="exact"/>
        <w:ind w:firstLineChars="200" w:firstLine="640"/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（三）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政府信息管理。</w:t>
      </w:r>
    </w:p>
    <w:p>
      <w:pPr>
        <w:pStyle w:val="2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cs="Times New Roman" w:hint="eastAsia"/>
          <w:b w:val="0"/>
          <w:bCs w:val="0"/>
          <w:snapToGrid w:val="0"/>
          <w:sz w:val="32"/>
          <w:szCs w:val="32"/>
        </w:rPr>
      </w:pPr>
      <w:r>
        <w:rPr>
          <w:rFonts w:ascii="方正仿宋_GBK" w:eastAsia="方正仿宋_GBK" w:cs="Times New Roman"/>
          <w:b w:val="0"/>
          <w:bCs w:val="0"/>
          <w:snapToGrid w:val="0"/>
          <w:sz w:val="32"/>
          <w:szCs w:val="32"/>
        </w:rPr>
        <w:t>明确滨州海关政务公开信息发布工作流程，确保信息发布及时、权威、准确。做好信息公开保密审查，严格按制度实行逐级审批。</w:t>
      </w:r>
      <w:r>
        <w:rPr>
          <w:rFonts w:ascii="方正仿宋_GBK" w:eastAsia="方正仿宋_GBK" w:cs="Times New Roman" w:hint="eastAsia"/>
          <w:b w:val="0"/>
          <w:bCs w:val="0"/>
          <w:snapToGrid w:val="0"/>
          <w:sz w:val="32"/>
          <w:szCs w:val="32"/>
        </w:rPr>
        <w:t>及时撤销过期内容，实现“集中公开、实时更新、系统清理”。</w:t>
      </w:r>
    </w:p>
    <w:p>
      <w:pPr>
        <w:pStyle w:val="185"/>
        <w:spacing w:before="0" w:beforeAutospacing="0" w:after="0" w:afterAutospacing="0" w:line="560" w:lineRule="exact"/>
        <w:ind w:firstLineChars="200" w:firstLine="640"/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（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四</w:t>
      </w: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）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政府信息公开平台建设。</w:t>
      </w:r>
    </w:p>
    <w:p>
      <w:pPr>
        <w:pStyle w:val="190"/>
        <w:spacing w:line="560" w:lineRule="exact"/>
        <w:ind w:firstLineChars="200" w:firstLine="640"/>
        <w:rPr>
          <w:bCs/>
          <w:snapToGrid w:val="0"/>
          <w:szCs w:val="32"/>
        </w:rPr>
      </w:pPr>
      <w:r>
        <w:rPr>
          <w:rFonts w:hint="eastAsia"/>
          <w:bCs/>
          <w:snapToGrid w:val="0"/>
          <w:szCs w:val="32"/>
        </w:rPr>
        <w:t>多渠道开展政务公开工作，将政务公开工作与海关业务充分结合。线下利用“政策直通车”等</w:t>
      </w:r>
      <w:r>
        <w:rPr>
          <w:bCs/>
          <w:snapToGrid w:val="0"/>
          <w:szCs w:val="32"/>
        </w:rPr>
        <w:t>平台</w:t>
      </w:r>
      <w:r>
        <w:rPr>
          <w:rFonts w:hint="eastAsia"/>
          <w:bCs/>
          <w:snapToGrid w:val="0"/>
          <w:szCs w:val="32"/>
        </w:rPr>
        <w:t>，关领导带队赴</w:t>
      </w:r>
      <w:r>
        <w:rPr>
          <w:bCs/>
          <w:snapToGrid w:val="0"/>
          <w:szCs w:val="32"/>
        </w:rPr>
        <w:t>辖区</w:t>
      </w:r>
      <w:r>
        <w:rPr>
          <w:rFonts w:hint="eastAsia"/>
          <w:bCs/>
          <w:snapToGrid w:val="0"/>
          <w:szCs w:val="32"/>
        </w:rPr>
        <w:t>重点企业开展调研，会同有关部门座谈调研，解决企业实际问题，促进政府、企业对海关工作的了解认同</w:t>
      </w:r>
      <w:r>
        <w:rPr>
          <w:bCs/>
          <w:snapToGrid w:val="0"/>
          <w:szCs w:val="32"/>
        </w:rPr>
        <w:t>，合力推动高水平开放、高质量发展</w:t>
      </w:r>
      <w:r>
        <w:rPr>
          <w:rFonts w:hint="eastAsia"/>
          <w:bCs/>
          <w:snapToGrid w:val="0"/>
          <w:szCs w:val="32"/>
        </w:rPr>
        <w:t>。线上推广微信业务群，除即时处置日常业务外，适时转发总署、总关最新政策公告，深入解读相关要求，协助企业尽快掌握文件精神，避免业务差错发生。</w:t>
      </w:r>
    </w:p>
    <w:p>
      <w:pPr>
        <w:pStyle w:val="186"/>
        <w:spacing w:before="0" w:beforeAutospacing="0" w:after="0" w:afterAutospacing="0" w:line="560" w:lineRule="exact"/>
        <w:ind w:firstLineChars="200" w:firstLine="640"/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（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五</w:t>
      </w: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）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监督保障。</w:t>
      </w:r>
    </w:p>
    <w:p>
      <w:pPr>
        <w:pStyle w:val="186"/>
        <w:spacing w:before="0" w:beforeAutospacing="0" w:after="0" w:afterAutospacing="0" w:line="560" w:lineRule="exact"/>
        <w:ind w:firstLineChars="200" w:firstLine="640"/>
        <w:rPr>
          <w:rFonts w:ascii="方正仿宋_GBK" w:eastAsia="方正仿宋_GBK" w:cs="Times New Roman" w:hint="eastAsia"/>
          <w:b w:val="0"/>
          <w:bCs w:val="0"/>
          <w:snapToGrid w:val="0"/>
          <w:sz w:val="32"/>
          <w:szCs w:val="32"/>
        </w:rPr>
      </w:pPr>
      <w:r>
        <w:rPr>
          <w:rFonts w:ascii="方正仿宋_GBK" w:eastAsia="方正仿宋_GBK" w:cs="Times New Roman" w:hint="eastAsia"/>
          <w:b w:val="0"/>
          <w:bCs w:val="0"/>
          <w:snapToGrid w:val="0"/>
          <w:sz w:val="32"/>
          <w:szCs w:val="32"/>
        </w:rPr>
        <w:t>持续推进政务公开规范化管理，组织开展</w:t>
      </w:r>
      <w:r>
        <w:rPr>
          <w:rFonts w:ascii="方正仿宋_GBK" w:eastAsia="方正仿宋_GBK" w:cs="Times New Roman"/>
          <w:b w:val="0"/>
          <w:bCs w:val="0"/>
          <w:snapToGrid w:val="0"/>
          <w:sz w:val="32"/>
          <w:szCs w:val="32"/>
        </w:rPr>
        <w:t>济南</w:t>
      </w:r>
      <w:r>
        <w:rPr>
          <w:rFonts w:ascii="方正仿宋_GBK" w:eastAsia="方正仿宋_GBK" w:cs="Times New Roman" w:hint="eastAsia"/>
          <w:b w:val="0"/>
          <w:bCs w:val="0"/>
          <w:snapToGrid w:val="0"/>
          <w:sz w:val="32"/>
          <w:szCs w:val="32"/>
        </w:rPr>
        <w:t>海关门户网站政府信息自查，对发布信息错链、断链、内容表述错误等开展检查并</w:t>
      </w:r>
      <w:r>
        <w:rPr>
          <w:rFonts w:ascii="方正仿宋_GBK" w:eastAsia="方正仿宋_GBK" w:cs="Times New Roman"/>
          <w:b w:val="0"/>
          <w:bCs w:val="0"/>
          <w:snapToGrid w:val="0"/>
          <w:sz w:val="32"/>
          <w:szCs w:val="32"/>
        </w:rPr>
        <w:t>做好</w:t>
      </w:r>
      <w:bookmarkStart w:id="2" w:name="_GoBack"/>
      <w:bookmarkEnd w:id="2"/>
      <w:r>
        <w:rPr>
          <w:rFonts w:ascii="方正仿宋_GBK" w:eastAsia="方正仿宋_GBK" w:cs="Times New Roman" w:hint="eastAsia"/>
          <w:b w:val="0"/>
          <w:bCs w:val="0"/>
          <w:snapToGrid w:val="0"/>
          <w:sz w:val="32"/>
          <w:szCs w:val="32"/>
        </w:rPr>
        <w:t>整改。组织开展</w:t>
      </w:r>
      <w:r>
        <w:rPr>
          <w:rFonts w:ascii="方正仿宋_GBK" w:eastAsia="方正仿宋_GBK" w:cs="Times New Roman"/>
          <w:b w:val="0"/>
          <w:bCs w:val="0"/>
          <w:snapToGrid w:val="0"/>
          <w:sz w:val="32"/>
          <w:szCs w:val="32"/>
        </w:rPr>
        <w:t>本关</w:t>
      </w:r>
      <w:r>
        <w:rPr>
          <w:rFonts w:ascii="方正仿宋_GBK" w:eastAsia="方正仿宋_GBK" w:cs="Times New Roman" w:hint="eastAsia"/>
          <w:b w:val="0"/>
          <w:bCs w:val="0"/>
          <w:snapToGrid w:val="0"/>
          <w:sz w:val="32"/>
          <w:szCs w:val="32"/>
        </w:rPr>
        <w:t>政务公开专题培训，就政府信息公开工作规范性及注意事项开展讲解，持续提升政务公开标准化规范化水平。</w:t>
      </w:r>
    </w:p>
    <w:p>
      <w:pPr>
        <w:pStyle w:val="187"/>
        <w:spacing w:before="0" w:beforeAutospacing="0" w:after="0" w:afterAutospacing="0" w:line="560" w:lineRule="exact"/>
        <w:ind w:firstLineChars="200" w:firstLine="640"/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（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六</w:t>
      </w:r>
      <w:r>
        <w:rPr>
          <w:rFonts w:ascii="Times New Roman" w:eastAsia="方正楷体_GBK" w:cs="Times New Roman" w:hAnsi="Times New Roman" w:hint="eastAsia"/>
          <w:b w:val="0"/>
          <w:bCs w:val="0"/>
          <w:snapToGrid w:val="0"/>
          <w:sz w:val="32"/>
          <w:szCs w:val="32"/>
        </w:rPr>
        <w:t>）</w:t>
      </w:r>
      <w:r>
        <w:rPr>
          <w:rFonts w:ascii="Times New Roman" w:eastAsia="方正楷体_GBK" w:cs="Times New Roman" w:hAnsi="Times New Roman"/>
          <w:b w:val="0"/>
          <w:bCs w:val="0"/>
          <w:snapToGrid w:val="0"/>
          <w:sz w:val="32"/>
          <w:szCs w:val="32"/>
        </w:rPr>
        <w:t>工作成果、亮点。</w:t>
      </w:r>
    </w:p>
    <w:p>
      <w:pPr>
        <w:spacing w:line="560" w:lineRule="exact"/>
        <w:ind w:firstLineChars="200" w:firstLine="640"/>
        <w:rPr>
          <w:bCs/>
          <w:snapToGrid w:val="0"/>
          <w:szCs w:val="32"/>
        </w:rPr>
      </w:pPr>
      <w:r>
        <w:rPr>
          <w:bCs/>
          <w:snapToGrid w:val="0"/>
          <w:szCs w:val="32"/>
        </w:rPr>
        <w:t>持续建好</w:t>
      </w:r>
      <w:r>
        <w:rPr>
          <w:rFonts w:hint="eastAsia"/>
          <w:bCs/>
          <w:snapToGrid w:val="0"/>
          <w:szCs w:val="32"/>
        </w:rPr>
        <w:t>滨州海关政务公开区域，通过大屏滚动播放、智慧屏宣传及发放通关指南等形式全面公开通关流程、投诉举报电话等内容。组织开展“海关开放日”活动4期，邀请群众、学生走进海关、开展互动交流，实地参观感受海关便民服务举措，提升公众对海关工作的满意度。</w:t>
      </w:r>
    </w:p>
    <w:p>
      <w:pPr>
        <w:spacing w:line="560" w:lineRule="exact"/>
        <w:ind w:firstLineChars="200" w:firstLine="640"/>
        <w:rPr>
          <w:rFonts w:eastAsia="方正黑体_GBK" w:cs="楷体_GB2312"/>
          <w:bCs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9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248"/>
      </w:tblGrid>
      <w:tr>
        <w:trPr>
          <w:trHeight w:val="495"/>
        </w:trPr>
        <w:tc>
          <w:tcPr>
            <w:tcW w:w="90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908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3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4</w:t>
            </w:r>
          </w:p>
        </w:tc>
      </w:tr>
      <w:tr>
        <w:trPr>
          <w:trHeight w:val="406"/>
        </w:trPr>
        <w:tc>
          <w:tcPr>
            <w:tcW w:w="908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27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4</w:t>
            </w:r>
          </w:p>
        </w:tc>
      </w:tr>
      <w:tr>
        <w:trPr>
          <w:trHeight w:val="474"/>
        </w:trPr>
        <w:tc>
          <w:tcPr>
            <w:tcW w:w="908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0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36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>
      <w:pPr>
        <w:pStyle w:val="20"/>
        <w:tabs>
          <w:tab w:val="center" w:pos="4153"/>
          <w:tab w:val="right" w:pos="8306"/>
        </w:tabs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749"/>
        <w:gridCol w:w="2857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1563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0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43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0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7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7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7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09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6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74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6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6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6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43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35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43"/>
        <w:adjustRightInd w:val="0"/>
        <w:snapToGrid w:val="0"/>
        <w:ind w:firstLineChars="200" w:firstLine="624"/>
        <w:rPr>
          <w:rFonts w:eastAsia="方正楷体_GBK"/>
          <w:bCs/>
        </w:rPr>
      </w:pPr>
      <w:r>
        <w:rPr>
          <w:rFonts w:eastAsia="方正楷体_GBK" w:hint="eastAsia"/>
          <w:bCs/>
        </w:rPr>
        <w:t>（一）2024年年报中所提问题整改情况。</w:t>
      </w:r>
    </w:p>
    <w:p>
      <w:pPr>
        <w:pStyle w:val="76"/>
        <w:adjustRightInd w:val="0"/>
        <w:snapToGrid w:val="0"/>
        <w:ind w:firstLineChars="200" w:firstLine="640"/>
        <w:rPr>
          <w:bCs/>
          <w:snapToGrid w:val="0"/>
          <w:szCs w:val="32"/>
        </w:rPr>
      </w:pPr>
      <w:r>
        <w:rPr>
          <w:rFonts w:hint="eastAsia"/>
          <w:bCs/>
          <w:snapToGrid w:val="0"/>
          <w:spacing w:val="0"/>
          <w:szCs w:val="32"/>
        </w:rPr>
        <w:t>针对2024年存在的新媒体平台利用不充分、公众意见反馈机制不健全等问题，我们采取了以下改进措施：</w:t>
      </w:r>
      <w:r>
        <w:rPr>
          <w:rFonts w:hint="eastAsia"/>
          <w:bCs/>
          <w:snapToGrid w:val="0"/>
          <w:szCs w:val="32"/>
        </w:rPr>
        <w:t>一是用好新媒体宣传渠道，创作图文并茂、浅显易懂的政策解读，2025年在海关总署网站发布政策解读3期，在济南海关发布微信公众号刊发新媒体13篇。二是完善反馈机制，建立“政策直通车”管理台账，定期分析研判，将合理建议转化为工作改进措施。通过上述工作，新媒体关注度和互动性有所提升，政企沟通渠道更加畅通。</w:t>
      </w:r>
    </w:p>
    <w:p>
      <w:pPr>
        <w:pStyle w:val="36"/>
        <w:adjustRightInd w:val="0"/>
        <w:snapToGrid w:val="0"/>
        <w:ind w:firstLineChars="200" w:firstLine="624"/>
      </w:pPr>
      <w:r>
        <w:rPr>
          <w:rFonts w:eastAsia="方正楷体_GBK" w:hint="eastAsia"/>
          <w:bCs/>
        </w:rPr>
        <w:t>（二）目前存在问题。</w:t>
      </w:r>
    </w:p>
    <w:p>
      <w:pPr>
        <w:pStyle w:val="76"/>
        <w:adjustRightInd w:val="0"/>
        <w:snapToGrid w:val="0"/>
        <w:ind w:firstLineChars="200" w:firstLine="624"/>
        <w:rPr>
          <w:rFonts w:cs="楷体_GB2312"/>
          <w:bCs/>
        </w:rPr>
      </w:pPr>
      <w:r>
        <w:rPr>
          <w:rFonts w:cs="楷体_GB2312"/>
          <w:bCs/>
        </w:rPr>
        <w:t>目前，我关在政府信息公开工作中还存在以下不足：</w:t>
      </w:r>
      <w:r>
        <w:rPr>
          <w:rFonts w:cs="楷体_GB2312" w:hint="eastAsia"/>
          <w:bCs/>
        </w:rPr>
        <w:t>一是主动公开的时效性和规范性有待加强；二是指导海关业务办理的精准性仍需进一步完善。</w:t>
      </w:r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</w:pPr>
      <w:r>
        <w:rPr>
          <w:rFonts w:eastAsia="方正仿宋_GBK" w:cs="宋体"/>
          <w:sz w:val="32"/>
          <w:szCs w:val="32"/>
        </w:rPr>
        <w:t>滨州海关202</w:t>
      </w:r>
      <w:r>
        <w:rPr>
          <w:rFonts w:eastAsia="方正仿宋_GBK" w:cs="宋体" w:hint="eastAsia"/>
          <w:sz w:val="32"/>
          <w:szCs w:val="32"/>
        </w:rPr>
        <w:t>5</w:t>
      </w:r>
      <w:r>
        <w:rPr>
          <w:rFonts w:eastAsia="方正仿宋_GBK" w:cs="宋体"/>
          <w:sz w:val="32"/>
          <w:szCs w:val="32"/>
        </w:rPr>
        <w:t>年无收取信息处理费情况</w:t>
      </w:r>
      <w:r>
        <w:rPr>
          <w:rFonts w:eastAsia="方正仿宋_GBK" w:cs="宋体" w:hint="eastAsia"/>
          <w:sz w:val="32"/>
          <w:szCs w:val="32"/>
        </w:rPr>
        <w:t>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rPr>
        <w:rStyle w:val="26"/>
      </w:rPr>
      <w:fldChar w:fldCharType="separate"/>
    </w:r>
    <w:r>
      <w:rPr>
        <w:rStyle w:val="26"/>
      </w:rPr>
      <w:t>- 1 -</w:t>
    </w:r>
    <w:r>
      <w:rPr>
        <w:rStyle w:val="26"/>
      </w:rPr>
      <w:fldChar w:fldCharType="end"/>
    </w:r>
  </w:p>
  <w:p>
    <w:pPr>
      <w:pStyle w:val="20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rPr>
        <w:rStyle w:val="26"/>
      </w:rPr>
      <w:fldChar w:fldCharType="separate"/>
    </w:r>
    <w:r>
      <w:rPr>
        <w:rStyle w:val="26"/>
      </w:rPr>
      <w:t>- 2 -</w:t>
    </w:r>
    <w:r>
      <w:rPr>
        <w:rStyle w:val="26"/>
      </w:rPr>
      <w:fldChar w:fldCharType="end"/>
    </w:r>
  </w:p>
  <w:p>
    <w:pPr>
      <w:pStyle w:val="20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0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0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D29EF28B"/>
    <w:multiLevelType w:val="singleLevel"/>
    <w:tmpl w:val="C6B7F873"/>
    <w:lvl w:ilvl="0">
      <w:start w:val="1"/>
      <w:numFmt w:val="decimal"/>
      <w:lvlRestart w:val="0"/>
      <w:pStyle w:val="15"/>
      <w:lvlText w:val="%1."/>
      <w:lvlJc w:val="left"/>
      <w:pPr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2">
    <w:name w:val="heading 2"/>
    <w:basedOn w:val="0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</w:style>
  <w:style w:type="paragraph" w:styleId="15">
    <w:name w:val="List Number 2"/>
    <w:basedOn w:val="0"/>
    <w:pPr>
      <w:numPr>
        <w:ilvl w:val="0"/>
        <w:numId w:val="1"/>
      </w:numPr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index 5"/>
    <w:basedOn w:val="0"/>
    <w:autoRedefine/>
    <w:next w:val="0"/>
    <w:pPr>
      <w:ind w:left="1680"/>
    </w:pPr>
  </w:style>
  <w:style w:type="paragraph" w:styleId="18">
    <w:name w:val="index 6"/>
    <w:basedOn w:val="0"/>
    <w:autoRedefine/>
    <w:next w:val="0"/>
    <w:pPr>
      <w:ind w:left="2100"/>
    </w:pPr>
  </w:style>
  <w:style w:type="paragraph" w:styleId="19">
    <w:name w:val="Balloon Text"/>
    <w:basedOn w:val="0"/>
    <w:rPr>
      <w:sz w:val="18"/>
      <w:szCs w:val="18"/>
    </w:rPr>
  </w:style>
  <w:style w:type="paragraph" w:styleId="20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0"/>
    <w:autoRedefine/>
    <w:next w:val="0"/>
  </w:style>
  <w:style w:type="paragraph" w:styleId="23">
    <w:name w:val="index 7"/>
    <w:basedOn w:val="0"/>
    <w:autoRedefine/>
    <w:next w:val="0"/>
    <w:pPr>
      <w:ind w:left="2520"/>
    </w:pPr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2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character" w:styleId="26">
    <w:name w:val="page number"/>
    <w:basedOn w:val="10"/>
  </w:style>
  <w:style w:type="paragraph" w:customStyle="1" w:styleId="27">
    <w:name w:val="样式 三号"/>
    <w:next w:val="2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8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9">
    <w:name w:val="样式 1 三号"/>
    <w:next w:val="22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0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">
    <w:name w:val="样式 1 小四"/>
    <w:next w:val="0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32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3">
    <w:name w:val="样式 20 小四"/>
    <w:next w:val="1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4">
    <w:name w:val="样式 12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5">
    <w:name w:val="样式 50 三号"/>
    <w:next w:val="1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6">
    <w:name w:val="样式 13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0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1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2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3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4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5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8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9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51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2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53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4 小四"/>
    <w:pPr>
      <w:widowControl w:val="0"/>
      <w:spacing w:line="560" w:lineRule="exact"/>
      <w:ind w:firstLineChars="200" w:firstLine="200"/>
      <w:jc w:val="both"/>
    </w:pPr>
    <w:rPr>
      <w:rFonts w:ascii="Times New Roman" w:eastAsia="仿宋" w:cs="Times New Roman" w:hAnsi="Times New Roman"/>
      <w:kern w:val="2"/>
      <w:sz w:val="24"/>
      <w:szCs w:val="24"/>
      <w:lang w:val="en-US" w:eastAsia="zh-CN" w:bidi="ar-SA"/>
    </w:rPr>
  </w:style>
  <w:style w:type="paragraph" w:customStyle="1" w:styleId="70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5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73">
    <w:name w:val="样式 7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74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">
    <w:name w:val="样式 9 小四"/>
    <w:pPr>
      <w:widowControl w:val="0"/>
      <w:spacing w:line="560" w:lineRule="exact"/>
      <w:ind w:firstLineChars="200" w:firstLine="200"/>
      <w:jc w:val="both"/>
    </w:pPr>
    <w:rPr>
      <w:rFonts w:ascii="Times New Roman" w:eastAsia="仿宋" w:cs="Times New Roman" w:hAnsi="Times New Roman"/>
      <w:kern w:val="2"/>
      <w:sz w:val="24"/>
      <w:szCs w:val="24"/>
      <w:lang w:val="en-US" w:eastAsia="zh-CN" w:bidi="ar-SA"/>
    </w:rPr>
  </w:style>
  <w:style w:type="paragraph" w:customStyle="1" w:styleId="76">
    <w:name w:val="样式 1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7">
    <w:name w:val="样式 1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8">
    <w:name w:val="样式 1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79">
    <w:name w:val="样式 1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80">
    <w:name w:val="样式 1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81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82">
    <w:name w:val="无间隔1"/>
    <w:pPr>
      <w:widowControl w:val="0"/>
      <w:jc w:val="center"/>
    </w:pPr>
    <w:rPr>
      <w:rFonts w:ascii="Calibri" w:eastAsia="楷体" w:cs="Arial" w:hAnsi="Calibri"/>
      <w:kern w:val="2"/>
      <w:sz w:val="32"/>
      <w:szCs w:val="22"/>
      <w:lang w:val="en-US" w:eastAsia="zh-CN" w:bidi="ar-SA"/>
    </w:rPr>
  </w:style>
  <w:style w:type="paragraph" w:customStyle="1" w:styleId="83">
    <w:name w:val="样式 6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character" w:customStyle="1" w:styleId="84">
    <w:name w:val="im-content1"/>
    <w:basedOn w:val="10"/>
    <w:rPr>
      <w:color w:val="000000"/>
    </w:rPr>
  </w:style>
  <w:style w:type="character" w:customStyle="1" w:styleId="85">
    <w:name w:val="s2"/>
    <w:basedOn w:val="10"/>
  </w:style>
  <w:style w:type="paragraph" w:customStyle="1" w:styleId="86">
    <w:name w:val="列出段落1"/>
    <w:basedOn w:val="0"/>
    <w:pPr>
      <w:ind w:firstLineChars="200" w:firstLine="200"/>
    </w:pPr>
  </w:style>
  <w:style w:type="paragraph" w:customStyle="1" w:styleId="87">
    <w:name w:val="样式 1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88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5">
    <w:name w:val="样式 小二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186">
    <w:name w:val="样式 1 小二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187">
    <w:name w:val="样式 2 小二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188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9">
    <w:name w:val="样式 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0">
    <w:name w:val="样式 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1">
    <w:name w:val="样式 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6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7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8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9">
    <w:name w:val="样式 3 小二"/>
    <w:pPr>
      <w:widowControl/>
      <w:spacing w:before="100" w:beforeAutospacing="1" w:after="10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1218</TotalTime>
  <Application>Yozo_Office</Application>
  <Pages>6</Pages>
  <Words>2235</Words>
  <Characters>2312</Characters>
  <Lines>433</Lines>
  <Paragraphs>312</Paragraphs>
  <CharactersWithSpaces>2312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IT Division</cp:lastModifiedBy>
  <cp:revision>4</cp:revision>
  <cp:lastPrinted>2021-11-30T07:27:00Z</cp:lastPrinted>
  <dcterms:created xsi:type="dcterms:W3CDTF">2024-06-12T08:33:00Z</dcterms:created>
  <dcterms:modified xsi:type="dcterms:W3CDTF">2026-01-30T03:03:04Z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eyJoZGlkIjoiNzU3NmQ0NjhlMDdiN2Y4Y2E3ZjA4NTg1NDY5OGEwY2EiLCJ1c2VySWQiOiIxMTg1MzEzNTk3In0=</vt:lpwstr>
  </property>
  <property fmtid="{D5CDD505-2E9C-101B-9397-08002B2CF9AE}" pid="3" name="KSOProductBuildVer">
    <vt:lpwstr>2052-12.1.0.24034</vt:lpwstr>
  </property>
  <property fmtid="{D5CDD505-2E9C-101B-9397-08002B2CF9AE}" pid="4" name="ICV">
    <vt:lpwstr>D6250F78A5294C82A0C2D29BE44A4B04_13</vt:lpwstr>
  </property>
</Properties>
</file>