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B</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B</w:t>
            </w:r>
            <w:r>
              <w:rPr>
                <w:rFonts w:ascii="宋体" w:cs="宋体" w:hint="eastAsia"/>
              </w:rPr>
              <w:t>型）设立审批</w:t>
            </w:r>
            <w:r>
              <w:rPr>
                <w:rFonts w:ascii="宋体"/>
              </w:rPr>
              <w:t>——</w:t>
            </w:r>
            <w:r>
              <w:rPr>
                <w:rFonts w:ascii="宋体" w:cs="宋体" w:hint="eastAsia"/>
              </w:rPr>
              <w:t>变更申请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numPr>
                <w:ilvl w:val="0"/>
                <w:numId w:val="1"/>
              </w:numPr>
              <w:rPr>
                <w:rFonts w:ascii="宋体" w:cs="宋体"/>
                <w:sz w:val="18"/>
                <w:szCs w:val="18"/>
              </w:rPr>
            </w:pPr>
            <w:r>
              <w:rPr>
                <w:rFonts w:ascii="宋体" w:cs="宋体" w:hint="eastAsia"/>
              </w:rPr>
              <w:t>《中华人民共和国海关法》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cs="宋体" w:hint="eastAsia"/>
              </w:rPr>
              <w:t>三、《中华人民共和国海关对保税物流中心（</w:t>
            </w:r>
            <w:r>
              <w:rPr>
                <w:rFonts w:ascii="宋体" w:cs="宋体"/>
              </w:rPr>
              <w:t>B</w:t>
            </w:r>
            <w:r>
              <w:rPr>
                <w:rFonts w:ascii="宋体" w:cs="宋体" w:hint="eastAsia"/>
              </w:rPr>
              <w:t>型）的暂行管理办法》（海关总署令第</w:t>
            </w:r>
            <w:r>
              <w:rPr>
                <w:rFonts w:ascii="宋体" w:cs="宋体"/>
              </w:rPr>
              <w:t>130</w:t>
            </w:r>
            <w:r>
              <w:rPr>
                <w:rFonts w:ascii="宋体" w:cs="宋体" w:hint="eastAsia"/>
              </w:rPr>
              <w:t>号公布，根据海关总署令第</w:t>
            </w:r>
            <w:r>
              <w:rPr>
                <w:rFonts w:ascii="宋体" w:cs="宋体"/>
              </w:rPr>
              <w:t>227</w:t>
            </w:r>
            <w:r>
              <w:rPr>
                <w:rFonts w:ascii="宋体" w:cs="宋体" w:hint="eastAsia"/>
              </w:rPr>
              <w:t>号、第</w:t>
            </w:r>
            <w:r>
              <w:rPr>
                <w:rFonts w:ascii="宋体" w:cs="宋体"/>
              </w:rPr>
              <w:t>235</w:t>
            </w:r>
            <w:r>
              <w:rPr>
                <w:rFonts w:ascii="宋体" w:cs="宋体" w:hint="eastAsia"/>
              </w:rPr>
              <w:t>号、第</w:t>
            </w:r>
            <w:r>
              <w:rPr>
                <w:rFonts w:ascii="宋体" w:cs="宋体"/>
              </w:rPr>
              <w:t>240</w:t>
            </w:r>
            <w:r>
              <w:rPr>
                <w:rFonts w:ascii="宋体" w:cs="宋体" w:hint="eastAsia"/>
              </w:rPr>
              <w:t>号修改）</w:t>
            </w:r>
          </w:p>
        </w:tc>
      </w:tr>
      <w:tr>
        <w:trPr>
          <w:trHeight w:val="458"/>
        </w:trPr>
        <w:tc>
          <w:tcPr>
            <w:tcW w:w="6636" w:type="dxa"/>
            <w:gridSpan w:val="4"/>
            <w:vAlign w:val="center"/>
          </w:tcPr>
          <w:p>
            <w:pPr>
              <w:jc w:val="center"/>
              <w:rPr>
                <w:rFonts w:ascii="宋体"/>
                <w:b/>
                <w:bCs/>
              </w:rPr>
            </w:pPr>
            <w:r>
              <w:rPr>
                <w:rFonts w:ascii="宋体" w:cs="宋体" w:hint="eastAsia"/>
                <w:b/>
                <w:bCs/>
              </w:rPr>
              <w:t>申请材料清单</w:t>
            </w:r>
          </w:p>
        </w:tc>
        <w:tc>
          <w:tcPr>
            <w:tcW w:w="1440" w:type="dxa"/>
            <w:gridSpan w:val="2"/>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623" w:type="dxa"/>
            <w:vAlign w:val="center"/>
          </w:tcPr>
          <w:p>
            <w:pPr>
              <w:jc w:val="center"/>
              <w:rPr>
                <w:rFonts w:ascii="宋体"/>
                <w:b/>
                <w:bCs/>
              </w:rPr>
            </w:pPr>
            <w:r>
              <w:rPr>
                <w:rFonts w:ascii="宋体" w:cs="宋体" w:hint="eastAsia"/>
                <w:b/>
                <w:bCs/>
              </w:rPr>
              <w:t>申请材料特别要求</w:t>
            </w:r>
          </w:p>
        </w:tc>
      </w:tr>
      <w:tr>
        <w:trPr>
          <w:trHeight w:val="459"/>
        </w:trPr>
        <w:tc>
          <w:tcPr>
            <w:tcW w:w="6636" w:type="dxa"/>
            <w:gridSpan w:val="4"/>
            <w:vAlign w:val="center"/>
          </w:tcPr>
          <w:p>
            <w:pPr>
              <w:spacing w:line="280" w:lineRule="exact"/>
              <w:rPr>
                <w:rFonts w:ascii="宋体"/>
              </w:rPr>
            </w:pPr>
            <w:r>
              <w:rPr>
                <w:rFonts w:ascii="宋体" w:cs="宋体" w:hint="eastAsia"/>
              </w:rPr>
              <w:t>一、企业申请书（必填）</w:t>
            </w:r>
          </w:p>
        </w:tc>
        <w:tc>
          <w:tcPr>
            <w:tcW w:w="1440" w:type="dxa"/>
            <w:gridSpan w:val="2"/>
            <w:vAlign w:val="center"/>
          </w:tcPr>
          <w:p>
            <w:pPr>
              <w:spacing w:line="280" w:lineRule="exact"/>
              <w:jc w:val="center"/>
              <w:rPr>
                <w:rFonts w:ascii="宋体"/>
                <w:b/>
                <w:bCs/>
              </w:rPr>
            </w:pPr>
          </w:p>
        </w:tc>
        <w:tc>
          <w:tcPr>
            <w:tcW w:w="2623" w:type="dxa"/>
            <w:vMerge w:val="restart"/>
            <w:vAlign w:val="center"/>
          </w:tcPr>
          <w:p>
            <w:pPr>
              <w:rPr>
                <w:rFonts w:ascii="宋体" w:cs="宋体"/>
              </w:rPr>
            </w:pPr>
            <w:r>
              <w:rPr>
                <w:rFonts w:ascii="宋体" w:cs="宋体" w:hint="eastAsia"/>
              </w:rPr>
              <w:t>1.在变更中心地址、面积及所有权时，申请人应当提供第三项材料。</w:t>
            </w:r>
          </w:p>
          <w:p>
            <w:pPr>
              <w:rPr>
                <w:rFonts w:ascii="宋体" w:cs="宋体"/>
              </w:rPr>
            </w:pPr>
            <w:r>
              <w:rPr>
                <w:rFonts w:ascii="宋体" w:cs="宋体" w:hint="eastAsia"/>
              </w:rPr>
              <w:t>2.在变更中心地址、面积时，申请人应当提供第四项材料。</w:t>
            </w:r>
          </w:p>
          <w:p>
            <w:pPr>
              <w:rPr>
                <w:rFonts w:ascii="宋体"/>
              </w:rPr>
            </w:pPr>
            <w:r>
              <w:rPr>
                <w:rFonts w:ascii="宋体" w:cs="宋体"/>
              </w:rPr>
              <w:t>3.通过海关行政审批网上办理平台办理该事项的，</w:t>
            </w:r>
            <w:r>
              <w:rPr>
                <w:rFonts w:ascii="宋体"/>
                <w:color w:val="000000"/>
              </w:rPr>
              <w:t>如变更后注册登记证书内容发生变化的，</w:t>
            </w:r>
            <w:r>
              <w:rPr>
                <w:rFonts w:ascii="宋体" w:cs="宋体"/>
              </w:rPr>
              <w:t>申请人在取得变更许可决定后，需到现场海关交回《保税物流中心（B型）注册登记证书》进行换发。</w:t>
            </w:r>
          </w:p>
        </w:tc>
      </w:tr>
      <w:tr>
        <w:trPr>
          <w:trHeight w:val="459"/>
        </w:trPr>
        <w:tc>
          <w:tcPr>
            <w:tcW w:w="6636" w:type="dxa"/>
            <w:gridSpan w:val="4"/>
            <w:vAlign w:val="center"/>
          </w:tcPr>
          <w:p>
            <w:pPr>
              <w:spacing w:line="280" w:lineRule="exact"/>
              <w:rPr>
                <w:rFonts w:ascii="宋体"/>
              </w:rPr>
            </w:pPr>
            <w:r>
              <w:rPr>
                <w:rFonts w:ascii="宋体" w:cs="宋体" w:hint="eastAsia"/>
              </w:rPr>
              <w:t>二、</w:t>
            </w:r>
            <w:r>
              <w:rPr>
                <w:rFonts w:ascii="宋体" w:cs="宋体"/>
              </w:rPr>
              <w:t>省级人民政府或其授权的市级人民政府关于变更事项的</w:t>
            </w:r>
            <w:r>
              <w:rPr>
                <w:rFonts w:ascii="宋体" w:cs="宋体" w:hint="eastAsia"/>
              </w:rPr>
              <w:t>意见书（选填）</w:t>
            </w:r>
          </w:p>
        </w:tc>
        <w:tc>
          <w:tcPr>
            <w:tcW w:w="1440" w:type="dxa"/>
            <w:gridSpan w:val="2"/>
            <w:vAlign w:val="center"/>
          </w:tcPr>
          <w:p>
            <w:pPr>
              <w:spacing w:line="280" w:lineRule="exact"/>
              <w:jc w:val="center"/>
              <w:rPr>
                <w:rFonts w:ascii="宋体"/>
                <w:b/>
                <w:bCs/>
              </w:rPr>
            </w:pPr>
          </w:p>
        </w:tc>
        <w:tc>
          <w:tcPr>
            <w:tcW w:w="2623" w:type="dxa"/>
            <w:vMerge/>
            <w:vAlign w:val="center"/>
          </w:tcPr>
          <w:p/>
        </w:tc>
      </w:tr>
      <w:tr>
        <w:trPr>
          <w:trHeight w:val="459"/>
        </w:trPr>
        <w:tc>
          <w:tcPr>
            <w:tcW w:w="6636" w:type="dxa"/>
            <w:gridSpan w:val="4"/>
            <w:vAlign w:val="center"/>
          </w:tcPr>
          <w:p>
            <w:pPr>
              <w:spacing w:line="280" w:lineRule="exact"/>
              <w:rPr>
                <w:rFonts w:ascii="宋体"/>
              </w:rPr>
            </w:pPr>
            <w:r>
              <w:rPr>
                <w:rFonts w:ascii="宋体" w:cs="宋体" w:hint="eastAsia"/>
              </w:rPr>
              <w:t>三、物流中心所用土地使用权的合法证明（选填）</w:t>
            </w:r>
          </w:p>
        </w:tc>
        <w:tc>
          <w:tcPr>
            <w:tcW w:w="1440" w:type="dxa"/>
            <w:gridSpan w:val="2"/>
            <w:vAlign w:val="center"/>
          </w:tcPr>
          <w:p>
            <w:pPr>
              <w:spacing w:line="280" w:lineRule="exact"/>
              <w:jc w:val="center"/>
              <w:rPr>
                <w:rFonts w:ascii="宋体"/>
                <w:b/>
                <w:bCs/>
              </w:rPr>
            </w:pPr>
          </w:p>
        </w:tc>
        <w:tc>
          <w:tcPr>
            <w:tcW w:w="2623" w:type="dxa"/>
            <w:vMerge/>
            <w:vAlign w:val="center"/>
          </w:tcPr>
          <w:p/>
        </w:tc>
      </w:tr>
      <w:tr>
        <w:trPr>
          <w:trHeight w:val="459"/>
        </w:trPr>
        <w:tc>
          <w:tcPr>
            <w:tcW w:w="6636" w:type="dxa"/>
            <w:gridSpan w:val="4"/>
            <w:vAlign w:val="center"/>
          </w:tcPr>
          <w:p>
            <w:pPr>
              <w:spacing w:line="280" w:lineRule="exact"/>
              <w:rPr>
                <w:rFonts w:ascii="宋体"/>
              </w:rPr>
            </w:pPr>
            <w:r>
              <w:rPr>
                <w:rFonts w:ascii="宋体" w:cs="宋体" w:hint="eastAsia"/>
              </w:rPr>
              <w:t>四、地理位置图、平面规划图（选填）</w:t>
            </w:r>
          </w:p>
        </w:tc>
        <w:tc>
          <w:tcPr>
            <w:tcW w:w="1440" w:type="dxa"/>
            <w:gridSpan w:val="2"/>
            <w:vAlign w:val="center"/>
          </w:tcPr>
          <w:p>
            <w:pPr>
              <w:spacing w:line="280" w:lineRule="exact"/>
              <w:jc w:val="center"/>
              <w:rPr>
                <w:rFonts w:ascii="宋体"/>
                <w:b/>
                <w:bCs/>
              </w:rPr>
            </w:pPr>
          </w:p>
        </w:tc>
        <w:tc>
          <w:tcPr>
            <w:tcW w:w="2623" w:type="dxa"/>
            <w:vMerge/>
            <w:vAlign w:val="center"/>
          </w:tcP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spacing w:line="280" w:lineRule="exact"/>
              <w:rPr>
                <w:rFonts w:ascii="宋体"/>
                <w:b/>
                <w:bCs/>
              </w:rPr>
            </w:pPr>
            <w:r>
              <w:rPr>
                <w:rFonts w:ascii="宋体" w:cs="宋体" w:hint="eastAsia"/>
              </w:rPr>
              <w:t>直属海关自受理之日起</w:t>
            </w:r>
            <w:r>
              <w:rPr>
                <w:rFonts w:ascii="宋体" w:cs="宋体"/>
              </w:rPr>
              <w:t>20</w:t>
            </w:r>
            <w:r>
              <w:rPr>
                <w:rFonts w:ascii="宋体" w:cs="宋体" w:hint="eastAsia"/>
              </w:rPr>
              <w:t>个工作日内审查完毕，海关总署联合三部门接到材料之日起</w:t>
            </w:r>
            <w:r>
              <w:rPr>
                <w:rFonts w:ascii="宋体" w:cs="宋体"/>
              </w:rPr>
              <w:t>45</w:t>
            </w:r>
            <w:r>
              <w:rPr>
                <w:rFonts w:ascii="宋体" w:cs="宋体" w:hint="eastAsia"/>
              </w:rPr>
              <w:t>个工作日内作出决定，特殊情况可以延长</w:t>
            </w:r>
            <w:r>
              <w:rPr>
                <w:rFonts w:ascii="宋体" w:cs="宋体"/>
              </w:rPr>
              <w:t>15</w:t>
            </w:r>
            <w:r>
              <w:rPr>
                <w:rFonts w:ascii="宋体" w:cs="宋体" w:hint="eastAsia"/>
              </w:rPr>
              <w:t>个工作日。</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3"/>
            <w:vAlign w:val="center"/>
          </w:tcPr>
          <w:p>
            <w:pPr>
              <w:spacing w:line="280" w:lineRule="exact"/>
              <w:jc w:val="center"/>
              <w:rPr>
                <w:rFonts w:ascii="宋体"/>
                <w:b/>
                <w:bCs/>
              </w:rPr>
            </w:pPr>
            <w:r>
              <w:rPr>
                <w:rFonts w:ascii="宋体" w:cs="宋体" w:hint="eastAsia"/>
                <w:b/>
                <w:bCs/>
              </w:rPr>
              <w:t>批准文书发放方式</w:t>
            </w:r>
          </w:p>
        </w:tc>
        <w:tc>
          <w:tcPr>
            <w:tcW w:w="3886" w:type="dxa"/>
            <w:gridSpan w:val="2"/>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ascii="宋体" w:cs="宋体" w:hint="eastAsia"/>
                <w:b/>
                <w:bCs/>
              </w:rPr>
              <w:t>海关联系电话</w:t>
            </w:r>
          </w:p>
        </w:tc>
        <w:tc>
          <w:tcPr>
            <w:tcW w:w="3886" w:type="dxa"/>
            <w:gridSpan w:val="2"/>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280" w:lineRule="exact"/>
        <w:ind w:firstLineChars="500" w:firstLine="1050"/>
        <w:rPr>
          <w:rFonts w:ascii="宋体"/>
        </w:rPr>
      </w:pPr>
    </w:p>
    <w:p>
      <w:pPr>
        <w:spacing w:line="280" w:lineRule="exact"/>
        <w:ind w:firstLineChars="500" w:firstLine="1050"/>
        <w:rPr>
          <w:rFonts w:ascii="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1077" w:right="567" w:bottom="1077"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CC476458"/>
    <w:multiLevelType w:val="singleLevel"/>
    <w:tmpl w:val="CC476458"/>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note text"/>
    <w:basedOn w:val="0"/>
    <w:pPr>
      <w:snapToGrid w:val="0"/>
      <w:jc w:val="left"/>
    </w:pPr>
    <w:rPr>
      <w:sz w:val="18"/>
    </w:rPr>
  </w:style>
  <w:style w:type="paragraph" w:styleId="21">
    <w:name w:val="Normal (Web)"/>
    <w:basedOn w:val="0"/>
    <w:pPr>
      <w:spacing w:before="100" w:beforeAutospacing="1" w:after="100" w:afterAutospacing="1"/>
      <w:jc w:val="left"/>
    </w:pPr>
    <w:rPr>
      <w:rFonts w:ascii="宋体" w:cs="宋体"/>
      <w:sz w:val="24"/>
      <w:szCs w:val="24"/>
    </w:rPr>
  </w:style>
  <w:style w:type="paragraph" w:customStyle="1" w:styleId="22">
    <w:name w:val="正文20"/>
    <w:next w:val="20"/>
    <w:pPr>
      <w:widowControl w:val="0"/>
      <w:jc w:val="both"/>
    </w:pPr>
    <w:rPr>
      <w:rFonts w:ascii="Times New Roman" w:eastAsia="宋体" w:cs="宋体"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9</TotalTime>
  <Application>Yozo_Office</Application>
  <Pages>2</Pages>
  <Words>834</Words>
  <Characters>852</Characters>
  <Lines>78</Lines>
  <Paragraphs>49</Paragraphs>
  <CharactersWithSpaces>960</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15</cp:revision>
  <cp:lastPrinted>2016-01-29T02:13:00Z</cp:lastPrinted>
  <dcterms:created xsi:type="dcterms:W3CDTF">2017-09-07T08:20:00Z</dcterms:created>
  <dcterms:modified xsi:type="dcterms:W3CDTF">2022-02-16T08:46:16Z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