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Times New Roman" w:hAnsi="Times New Roman"/>
          <w:sz w:val="48"/>
          <w:szCs w:val="48"/>
        </w:rPr>
      </w:pPr>
      <w:bookmarkStart w:id="0" w:name="_GoBack"/>
      <w:bookmarkEnd w:id="0"/>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hint="eastAsia"/>
          <w:sz w:val="84"/>
          <w:szCs w:val="84"/>
        </w:rPr>
      </w:pPr>
      <w:r>
        <w:rPr>
          <w:rFonts w:ascii="Times New Roman" w:hAnsi="Times New Roman" w:hint="eastAsia"/>
          <w:sz w:val="84"/>
          <w:szCs w:val="84"/>
        </w:rPr>
        <w:t>济南</w:t>
      </w:r>
      <w:r>
        <w:rPr>
          <w:rFonts w:ascii="Times New Roman" w:hAnsi="Times New Roman" w:hint="eastAsia"/>
          <w:sz w:val="84"/>
          <w:szCs w:val="84"/>
          <w:lang w:eastAsia="zh-CN"/>
        </w:rPr>
        <w:t>邮局</w:t>
      </w:r>
      <w:r>
        <w:rPr>
          <w:rFonts w:ascii="Times New Roman" w:hAnsi="Times New Roman" w:hint="eastAsia"/>
          <w:sz w:val="84"/>
          <w:szCs w:val="84"/>
        </w:rPr>
        <w:t>海关部门</w:t>
      </w:r>
    </w:p>
    <w:p>
      <w:pPr>
        <w:jc w:val="center"/>
        <w:rPr>
          <w:rFonts w:ascii="Times New Roman" w:hAnsi="Times New Roman"/>
          <w:sz w:val="84"/>
          <w:szCs w:val="84"/>
        </w:rPr>
      </w:pPr>
      <w:r>
        <w:rPr>
          <w:rFonts w:ascii="Times New Roman" w:hAnsi="Times New Roman" w:hint="eastAsia"/>
          <w:sz w:val="84"/>
          <w:szCs w:val="84"/>
        </w:rPr>
        <w:t>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4</w:t>
      </w:r>
      <w:r>
        <w:rPr>
          <w:rFonts w:ascii="Times New Roman" w:hAnsi="Times New Roman" w:hint="eastAsia"/>
          <w:sz w:val="44"/>
          <w:szCs w:val="44"/>
        </w:rPr>
        <w:t>年</w:t>
      </w:r>
    </w:p>
    <w:p>
      <w:pPr>
        <w:jc w:val="center"/>
        <w:rPr>
          <w:rFonts w:ascii="Times New Roman" w:hAnsi="Times New Roman"/>
          <w:sz w:val="44"/>
          <w:szCs w:val="4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footerReference w:type="even" r:id="rId2"/>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jc w:val="left"/>
        <w:rPr>
          <w:b/>
          <w:sz w:val="44"/>
          <w:szCs w:val="44"/>
        </w:rPr>
      </w:pPr>
      <w:r>
        <w:rPr>
          <w:rFonts w:ascii="宋体" w:hint="eastAsia"/>
          <w:b/>
          <w:sz w:val="44"/>
          <w:szCs w:val="44"/>
        </w:rPr>
        <w:t>第一部分</w:t>
      </w:r>
      <w:r>
        <w:rPr>
          <w:rFonts w:hint="eastAsia"/>
          <w:b/>
          <w:sz w:val="44"/>
          <w:szCs w:val="44"/>
        </w:rPr>
        <w:t xml:space="preserve">  济南</w:t>
      </w:r>
      <w:r>
        <w:rPr>
          <w:rFonts w:hint="eastAsia"/>
          <w:b/>
          <w:sz w:val="44"/>
          <w:szCs w:val="44"/>
          <w:lang w:eastAsia="zh-CN"/>
        </w:rPr>
        <w:t>邮局</w:t>
      </w:r>
      <w:r>
        <w:rPr>
          <w:rFonts w:ascii="宋体" w:hint="eastAsia"/>
          <w:b/>
          <w:sz w:val="44"/>
          <w:szCs w:val="44"/>
        </w:rPr>
        <w:t>海关部门概况</w:t>
      </w:r>
    </w:p>
    <w:p>
      <w:pPr>
        <w:jc w:val="left"/>
        <w:rPr>
          <w:sz w:val="36"/>
          <w:szCs w:val="36"/>
        </w:rPr>
      </w:pPr>
      <w:r>
        <w:rPr>
          <w:rFonts w:ascii="宋体" w:hint="eastAsia"/>
          <w:sz w:val="36"/>
          <w:szCs w:val="36"/>
        </w:rPr>
        <w:t>一、主要职能</w:t>
      </w:r>
    </w:p>
    <w:p>
      <w:pPr>
        <w:jc w:val="left"/>
        <w:rPr>
          <w:sz w:val="36"/>
          <w:szCs w:val="36"/>
        </w:rPr>
      </w:pPr>
      <w:r>
        <w:rPr>
          <w:rFonts w:ascii="宋体" w:hint="eastAsia"/>
          <w:sz w:val="36"/>
          <w:szCs w:val="36"/>
        </w:rPr>
        <w:t>二、济南</w:t>
      </w:r>
      <w:r>
        <w:rPr>
          <w:rFonts w:ascii="宋体" w:hint="eastAsia"/>
          <w:sz w:val="36"/>
          <w:szCs w:val="36"/>
          <w:lang w:eastAsia="zh-CN"/>
        </w:rPr>
        <w:t>邮局</w:t>
      </w:r>
      <w:r>
        <w:rPr>
          <w:rFonts w:ascii="宋体" w:hint="eastAsia"/>
          <w:sz w:val="36"/>
          <w:szCs w:val="36"/>
        </w:rPr>
        <w:t>海关单位构成情况</w:t>
      </w:r>
      <w:r>
        <w:rPr>
          <w:rFonts w:hint="eastAsia"/>
          <w:sz w:val="36"/>
          <w:szCs w:val="36"/>
        </w:rPr>
        <w:t xml:space="preserve"> </w:t>
      </w:r>
    </w:p>
    <w:p>
      <w:pPr>
        <w:jc w:val="left"/>
        <w:rPr>
          <w:rFonts w:ascii="Times New Roman" w:cs="Times New Roman" w:hAnsi="Times New Roman"/>
          <w:b/>
          <w:sz w:val="44"/>
          <w:szCs w:val="44"/>
        </w:rPr>
      </w:pPr>
      <w:r>
        <w:rPr>
          <w:rFonts w:ascii="宋体" w:hint="eastAsia"/>
          <w:b/>
          <w:sz w:val="44"/>
          <w:szCs w:val="44"/>
        </w:rPr>
        <w:t>第二部分</w:t>
      </w:r>
      <w:r>
        <w:rPr>
          <w:rFonts w:hint="eastAsia"/>
          <w:b/>
          <w:sz w:val="44"/>
          <w:szCs w:val="44"/>
        </w:rPr>
        <w:t xml:space="preserve">  </w:t>
      </w:r>
      <w:r>
        <w:rPr>
          <w:rFonts w:ascii="Times New Roman" w:cs="Times New Roman" w:hAnsi="Times New Roman"/>
          <w:b/>
          <w:sz w:val="44"/>
          <w:szCs w:val="44"/>
        </w:rPr>
        <w:t>济南</w:t>
      </w:r>
      <w:r>
        <w:rPr>
          <w:rFonts w:ascii="Times New Roman" w:cs="Times New Roman" w:hAnsi="Times New Roman" w:hint="eastAsia"/>
          <w:b/>
          <w:sz w:val="44"/>
          <w:szCs w:val="44"/>
          <w:lang w:eastAsia="zh-CN"/>
        </w:rPr>
        <w:t>邮局</w:t>
      </w:r>
      <w:r>
        <w:rPr>
          <w:rFonts w:ascii="Times New Roman" w:cs="Times New Roman" w:hAnsi="Times New Roman"/>
          <w:b/>
          <w:sz w:val="44"/>
          <w:szCs w:val="44"/>
        </w:rPr>
        <w:t>海关2024年部门预算表</w:t>
      </w:r>
    </w:p>
    <w:p>
      <w:pPr>
        <w:jc w:val="left"/>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30"/>
        <w:jc w:val="left"/>
        <w:rPr>
          <w:sz w:val="36"/>
          <w:szCs w:val="36"/>
        </w:rPr>
      </w:pPr>
      <w:r>
        <w:rPr>
          <w:rFonts w:ascii="宋体" w:hint="eastAsia"/>
          <w:sz w:val="36"/>
          <w:szCs w:val="36"/>
        </w:rPr>
        <w:t>二、部门收入总表</w:t>
      </w:r>
    </w:p>
    <w:p>
      <w:pPr>
        <w:pStyle w:val="29"/>
        <w:jc w:val="left"/>
        <w:rPr>
          <w:sz w:val="36"/>
          <w:szCs w:val="36"/>
        </w:rPr>
      </w:pPr>
      <w:r>
        <w:rPr>
          <w:rFonts w:ascii="宋体" w:hint="eastAsia"/>
          <w:sz w:val="36"/>
          <w:szCs w:val="36"/>
        </w:rPr>
        <w:t>三、部门支出总表</w:t>
      </w:r>
    </w:p>
    <w:p>
      <w:pPr>
        <w:jc w:val="left"/>
        <w:rPr>
          <w:sz w:val="36"/>
          <w:szCs w:val="36"/>
        </w:rPr>
      </w:pPr>
      <w:r>
        <w:rPr>
          <w:rFonts w:ascii="宋体" w:hint="eastAsia"/>
          <w:sz w:val="36"/>
          <w:szCs w:val="36"/>
        </w:rPr>
        <w:t>四、</w:t>
      </w:r>
      <w:r>
        <w:rPr>
          <w:rFonts w:ascii="宋体"/>
          <w:sz w:val="36"/>
          <w:szCs w:val="36"/>
        </w:rPr>
        <w:t>财政拨款收支总表</w:t>
      </w:r>
    </w:p>
    <w:p>
      <w:pPr>
        <w:jc w:val="left"/>
        <w:rPr>
          <w:sz w:val="36"/>
          <w:szCs w:val="36"/>
        </w:rPr>
      </w:pPr>
      <w:r>
        <w:rPr>
          <w:rFonts w:ascii="宋体" w:hint="eastAsia"/>
          <w:sz w:val="36"/>
          <w:szCs w:val="36"/>
        </w:rPr>
        <w:t>五、</w:t>
      </w:r>
      <w:r>
        <w:rPr>
          <w:rFonts w:ascii="宋体"/>
          <w:sz w:val="36"/>
          <w:szCs w:val="36"/>
        </w:rPr>
        <w:t>一般公共预算支出表</w:t>
      </w:r>
    </w:p>
    <w:p>
      <w:pPr>
        <w:jc w:val="left"/>
        <w:rPr>
          <w:color w:val="339966"/>
          <w:sz w:val="36"/>
          <w:szCs w:val="36"/>
        </w:rPr>
      </w:pPr>
      <w:r>
        <w:rPr>
          <w:rFonts w:ascii="宋体" w:hint="eastAsia"/>
          <w:sz w:val="36"/>
          <w:szCs w:val="36"/>
        </w:rPr>
        <w:t>六、</w:t>
      </w:r>
      <w:r>
        <w:rPr>
          <w:rFonts w:ascii="宋体"/>
          <w:sz w:val="36"/>
          <w:szCs w:val="36"/>
        </w:rPr>
        <w:t>一般公共预算基本支出表</w:t>
      </w:r>
    </w:p>
    <w:p>
      <w:pPr>
        <w:jc w:val="left"/>
        <w:rPr>
          <w:sz w:val="36"/>
          <w:szCs w:val="36"/>
        </w:rPr>
      </w:pPr>
      <w:r>
        <w:rPr>
          <w:rFonts w:ascii="宋体" w:hint="eastAsia"/>
          <w:sz w:val="36"/>
          <w:szCs w:val="36"/>
        </w:rPr>
        <w:t>七、</w:t>
      </w:r>
      <w:r>
        <w:rPr>
          <w:rFonts w:ascii="宋体"/>
          <w:sz w:val="36"/>
          <w:szCs w:val="36"/>
        </w:rPr>
        <w:t>政府性基金预算支出表</w:t>
      </w:r>
    </w:p>
    <w:p>
      <w:pPr>
        <w:jc w:val="left"/>
        <w:rPr>
          <w:rFonts w:ascii="宋体"/>
          <w:sz w:val="36"/>
          <w:szCs w:val="36"/>
        </w:rPr>
      </w:pPr>
      <w:r>
        <w:rPr>
          <w:rFonts w:ascii="宋体" w:hint="eastAsia"/>
          <w:sz w:val="36"/>
          <w:szCs w:val="36"/>
        </w:rPr>
        <w:t>八、</w:t>
      </w:r>
      <w:r>
        <w:rPr>
          <w:rFonts w:ascii="宋体"/>
          <w:sz w:val="36"/>
          <w:szCs w:val="36"/>
        </w:rPr>
        <w:t>国有资本经营预算支出表</w:t>
      </w:r>
    </w:p>
    <w:p>
      <w:pPr>
        <w:jc w:val="left"/>
        <w:rPr>
          <w:sz w:val="36"/>
          <w:szCs w:val="36"/>
        </w:rPr>
      </w:pPr>
      <w:r>
        <w:rPr>
          <w:rFonts w:ascii="宋体"/>
          <w:sz w:val="36"/>
          <w:szCs w:val="36"/>
        </w:rPr>
        <w:t>九、</w:t>
      </w:r>
      <w:r>
        <w:rPr>
          <w:rFonts w:ascii="宋体" w:hint="eastAsia"/>
          <w:sz w:val="36"/>
          <w:szCs w:val="36"/>
        </w:rPr>
        <w:t>财政拨款预算“三公”经费支出表</w:t>
      </w:r>
    </w:p>
    <w:p>
      <w:pPr>
        <w:ind w:left="2155" w:hangingChars="492" w:hanging="2164"/>
        <w:jc w:val="left"/>
        <w:rPr>
          <w:rFonts w:ascii="Times New Roman" w:cs="Times New Roman" w:hAnsi="Times New Roman"/>
          <w:b/>
          <w:sz w:val="44"/>
          <w:szCs w:val="44"/>
        </w:rPr>
      </w:pPr>
      <w:r>
        <w:rPr>
          <w:rFonts w:ascii="宋体" w:hint="eastAsia"/>
          <w:b/>
          <w:sz w:val="44"/>
          <w:szCs w:val="44"/>
        </w:rPr>
        <w:t>第三部分</w:t>
      </w:r>
      <w:r>
        <w:rPr>
          <w:rFonts w:hint="eastAsia"/>
          <w:b/>
          <w:sz w:val="44"/>
          <w:szCs w:val="44"/>
        </w:rPr>
        <w:t xml:space="preserve">  </w:t>
      </w:r>
      <w:r>
        <w:rPr>
          <w:rFonts w:ascii="Times New Roman" w:cs="Times New Roman" w:hAnsi="Times New Roman"/>
          <w:b/>
          <w:sz w:val="44"/>
          <w:szCs w:val="44"/>
        </w:rPr>
        <w:t>济南</w:t>
      </w:r>
      <w:r>
        <w:rPr>
          <w:rFonts w:ascii="Times New Roman" w:cs="Times New Roman" w:hAnsi="Times New Roman" w:hint="eastAsia"/>
          <w:b/>
          <w:sz w:val="44"/>
          <w:szCs w:val="44"/>
          <w:lang w:eastAsia="zh-CN"/>
        </w:rPr>
        <w:t>邮局</w:t>
      </w:r>
      <w:r>
        <w:rPr>
          <w:rFonts w:ascii="Times New Roman" w:cs="Times New Roman" w:hAnsi="Times New Roman"/>
          <w:b/>
          <w:sz w:val="44"/>
          <w:szCs w:val="44"/>
        </w:rPr>
        <w:t>海关2024年部门预算情况说明</w:t>
      </w:r>
    </w:p>
    <w:p>
      <w:pPr>
        <w:jc w:val="left"/>
        <w:rPr>
          <w:rFonts w:ascii="宋体" w:hint="eastAsia"/>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jc w:val="left"/>
        <w:rPr>
          <w:rFonts w:ascii="宋体" w:eastAsia="宋体"/>
          <w:b/>
          <w:sz w:val="44"/>
          <w:szCs w:val="44"/>
          <w:lang w:val="en-US" w:eastAsia="zh-CN"/>
        </w:rPr>
      </w:pPr>
      <w:r>
        <w:rPr>
          <w:rFonts w:ascii="宋体" w:hint="eastAsia"/>
          <w:b/>
          <w:sz w:val="44"/>
          <w:szCs w:val="44"/>
          <w:lang w:eastAsia="zh-CN"/>
        </w:rPr>
        <w:t>第五部分</w:t>
      </w:r>
      <w:r>
        <w:rPr>
          <w:rFonts w:ascii="宋体" w:hint="eastAsia"/>
          <w:b/>
          <w:sz w:val="44"/>
          <w:szCs w:val="44"/>
          <w:lang w:val="en-US" w:eastAsia="zh-CN"/>
        </w:rPr>
        <w:t xml:space="preserve">  附件</w:t>
      </w:r>
    </w:p>
    <w:p/>
    <w:p>
      <w:pPr>
        <w:tabs>
          <w:tab w:val="left" w:pos="6241"/>
        </w:tabs>
        <w:jc w:val="left"/>
        <w:sectPr>
          <w:footerReference w:type="default" r:id="rId4"/>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济南</w:t>
      </w:r>
      <w:r>
        <w:rPr>
          <w:rFonts w:ascii="Times New Roman" w:hAnsi="Times New Roman" w:hint="eastAsia"/>
          <w:b/>
          <w:sz w:val="84"/>
          <w:szCs w:val="84"/>
          <w:lang w:eastAsia="zh-CN"/>
        </w:rPr>
        <w:t>邮局</w:t>
      </w:r>
      <w:r>
        <w:rPr>
          <w:rFonts w:ascii="Times New Roman" w:hAnsi="Times New Roman" w:hint="eastAsia"/>
          <w:b/>
          <w:sz w:val="84"/>
          <w:szCs w:val="84"/>
        </w:rPr>
        <w:t>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both"/>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kern w:val="2"/>
          <w:sz w:val="32"/>
          <w:szCs w:val="32"/>
          <w:lang w:val="en-US" w:eastAsia="zh-CN"/>
        </w:rPr>
      </w:pPr>
      <w:r>
        <w:rPr>
          <w:rFonts w:ascii="Times New Roman" w:eastAsia="方正仿宋_GBK" w:cs="Arial" w:hAnsi="Times New Roman" w:hint="eastAsia"/>
          <w:kern w:val="2"/>
          <w:sz w:val="32"/>
          <w:szCs w:val="32"/>
          <w:lang w:val="en-US" w:eastAsia="zh-CN"/>
        </w:rPr>
        <w:t>（一）中华人民共和国济南邮局海关（以下简称“济南邮局海关”）为正处级隶属海关，负责济南、淄博、东营、滨州、泰安、枣庄、济宁、德州、聊城、菏泽等10个地市进出境邮件、快件、跨境电商等业务。</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sz w:val="32"/>
          <w:szCs w:val="32"/>
        </w:rPr>
      </w:pPr>
      <w:r>
        <w:rPr>
          <w:rFonts w:ascii="Times New Roman" w:eastAsia="方正仿宋_GBK" w:cs="Arial" w:hAnsi="Times New Roman" w:hint="eastAsia"/>
          <w:kern w:val="2"/>
          <w:sz w:val="32"/>
          <w:szCs w:val="32"/>
          <w:lang w:val="en-US" w:eastAsia="zh-CN"/>
        </w:rPr>
        <w:t>（二）正科级内设机构5个：办公室（党委组织宣传部）、综合业务科、邮件监管科、快件监管科、物流监控科。</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济南</w:t>
      </w:r>
      <w:r>
        <w:rPr>
          <w:rFonts w:ascii="Times New Roman" w:eastAsia="方正黑体_GBK" w:hAnsi="Times New Roman" w:hint="eastAsia"/>
          <w:sz w:val="32"/>
          <w:szCs w:val="32"/>
          <w:lang w:eastAsia="zh-CN"/>
        </w:rPr>
        <w:t>邮局</w:t>
      </w:r>
      <w:r>
        <w:rPr>
          <w:rFonts w:ascii="Times New Roman" w:eastAsia="方正黑体_GBK" w:hAnsi="Times New Roman" w:hint="eastAsia"/>
          <w:sz w:val="32"/>
          <w:szCs w:val="32"/>
        </w:rPr>
        <w:t>海关</w:t>
      </w:r>
      <w:r>
        <w:rPr>
          <w:rFonts w:ascii="Times New Roman" w:eastAsia="方正黑体_GBK" w:hAnsi="Times New Roman"/>
          <w:sz w:val="32"/>
          <w:szCs w:val="32"/>
        </w:rPr>
        <w:t>单位构成情况</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kern w:val="2"/>
          <w:sz w:val="32"/>
          <w:szCs w:val="32"/>
          <w:lang w:val="en-US" w:eastAsia="zh-CN"/>
        </w:rPr>
      </w:pPr>
      <w:r>
        <w:rPr>
          <w:rFonts w:ascii="Times New Roman" w:eastAsia="方正仿宋_GBK" w:cs="Arial" w:hAnsi="Times New Roman" w:hint="eastAsia"/>
          <w:kern w:val="2"/>
          <w:sz w:val="32"/>
          <w:szCs w:val="32"/>
          <w:lang w:val="en-US" w:eastAsia="zh-CN"/>
        </w:rPr>
        <w:t>（一）办公室（党委组织宣传部）：负责政务处理、机要保密、档案管理、信息宣传、法制、督察审计、人事教育、党建、监察、财务、综合协调、后勤保障等工作。</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kern w:val="2"/>
          <w:sz w:val="32"/>
          <w:szCs w:val="32"/>
          <w:lang w:val="en-US" w:eastAsia="zh-CN"/>
        </w:rPr>
      </w:pPr>
      <w:r>
        <w:rPr>
          <w:rFonts w:ascii="Times New Roman" w:eastAsia="方正仿宋_GBK" w:cs="Arial" w:hAnsi="Times New Roman" w:hint="eastAsia"/>
          <w:kern w:val="2"/>
          <w:sz w:val="32"/>
          <w:szCs w:val="32"/>
          <w:lang w:val="en-US" w:eastAsia="zh-CN"/>
        </w:rPr>
        <w:t>（二）综合业务科：负责通关业务、税收征管、验估、选查、统计、风险、案件审理、业务咨询和联系沟通等工作。</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kern w:val="2"/>
          <w:sz w:val="32"/>
          <w:szCs w:val="32"/>
          <w:lang w:val="en-US" w:eastAsia="zh-CN"/>
        </w:rPr>
      </w:pPr>
      <w:r>
        <w:rPr>
          <w:rFonts w:ascii="Times New Roman" w:eastAsia="方正仿宋_GBK" w:cs="Arial" w:hAnsi="Times New Roman" w:hint="eastAsia"/>
          <w:kern w:val="2"/>
          <w:sz w:val="32"/>
          <w:szCs w:val="32"/>
          <w:lang w:val="en-US" w:eastAsia="zh-CN"/>
        </w:rPr>
        <w:t>（三）邮件监管科：负责邮件的监管、机检、辐射探测、查验、印音制品监管、舱单管理、线索移交、送检、风险分析、反恐处突防扩散等工作。</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rPr>
          <w:rFonts w:ascii="Times New Roman" w:eastAsia="方正仿宋_GBK" w:cs="Arial" w:hAnsi="Times New Roman" w:hint="eastAsia"/>
          <w:kern w:val="2"/>
          <w:sz w:val="32"/>
          <w:szCs w:val="32"/>
          <w:lang w:val="en-US" w:eastAsia="zh-CN"/>
        </w:rPr>
      </w:pPr>
      <w:r>
        <w:rPr>
          <w:rFonts w:ascii="Times New Roman" w:eastAsia="方正仿宋_GBK" w:cs="Arial" w:hAnsi="Times New Roman" w:hint="eastAsia"/>
          <w:kern w:val="2"/>
          <w:sz w:val="32"/>
          <w:szCs w:val="32"/>
          <w:lang w:val="en-US" w:eastAsia="zh-CN"/>
        </w:rPr>
        <w:t>（四）快件监管科：负责快件及跨境电商的监管、机检、辐射探测、查验、线索移交、送检、风险分析、反恐处突防扩散等工作。</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560" w:lineRule="exact"/>
        <w:ind w:left="0" w:right="0" w:firstLineChars="200" w:firstLine="640"/>
        <w:jc w:val="left"/>
      </w:pPr>
      <w:r>
        <w:rPr>
          <w:rFonts w:ascii="Times New Roman" w:eastAsia="方正仿宋_GBK" w:cs="Arial" w:hAnsi="Times New Roman" w:hint="eastAsia"/>
          <w:kern w:val="2"/>
          <w:sz w:val="32"/>
          <w:szCs w:val="32"/>
          <w:lang w:val="en-US" w:eastAsia="zh-CN"/>
        </w:rPr>
        <w:t>（五）物流监控科：负责监管作业场所管理、设备管理、现场巡查、视频巡视、转关管理、GPS监控、物流追踪核查、案件调查、后续处置等工作。</w:t>
        <w:br/>
      </w:r>
    </w:p>
    <w:p>
      <w:pPr>
        <w:jc w:val="center"/>
        <w:rPr>
          <w:rFonts w:ascii="Times New Roman" w:eastAsia="方正仿宋_GBK" w:hAnsi="Times New Roman"/>
          <w:sz w:val="84"/>
          <w:szCs w:val="84"/>
        </w:rPr>
      </w:pPr>
      <w:r>
        <w:rPr>
          <w:rFonts w:ascii="Times New Roman" w:eastAsia="方正仿宋_GBK" w:hAnsi="Times New Roman"/>
          <w:sz w:val="32"/>
          <w:szCs w:val="32"/>
        </w:rPr>
        <w:br w:type="page"/>
      </w:r>
    </w:p>
    <w:p>
      <w:pPr>
        <w:jc w:val="center"/>
        <w:rPr>
          <w:rFonts w:ascii="Times New Roman" w:eastAsia="方正仿宋_GBK" w:hAnsi="Times New Roman"/>
          <w:sz w:val="84"/>
          <w:szCs w:val="84"/>
        </w:rPr>
      </w:pP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Times New Roman" w:cs="Times New Roman" w:hAnsi="Times New Roman"/>
          <w:b/>
          <w:sz w:val="84"/>
          <w:szCs w:val="84"/>
        </w:rPr>
      </w:pPr>
      <w:r>
        <w:rPr>
          <w:rFonts w:ascii="Times New Roman" w:cs="Times New Roman" w:hAnsi="Times New Roman"/>
          <w:b/>
          <w:sz w:val="84"/>
          <w:szCs w:val="84"/>
        </w:rPr>
        <w:t>济南</w:t>
      </w:r>
      <w:r>
        <w:rPr>
          <w:rFonts w:ascii="Times New Roman" w:cs="Times New Roman" w:hAnsi="Times New Roman" w:hint="eastAsia"/>
          <w:b/>
          <w:sz w:val="84"/>
          <w:szCs w:val="84"/>
          <w:lang w:eastAsia="zh-CN"/>
        </w:rPr>
        <w:t>邮局</w:t>
      </w:r>
      <w:r>
        <w:rPr>
          <w:rFonts w:ascii="Times New Roman" w:cs="Times New Roman" w:hAnsi="Times New Roman"/>
          <w:b/>
          <w:sz w:val="84"/>
          <w:szCs w:val="84"/>
        </w:rPr>
        <w:t>海关2024年</w:t>
      </w:r>
    </w:p>
    <w:p>
      <w:pPr>
        <w:jc w:val="center"/>
        <w:rPr>
          <w:rFonts w:ascii="Times New Roman" w:cs="Times New Roman" w:hAnsi="Times New Roman"/>
          <w:b/>
          <w:sz w:val="84"/>
          <w:szCs w:val="84"/>
        </w:rPr>
      </w:pPr>
      <w:r>
        <w:rPr>
          <w:rFonts w:ascii="Times New Roman" w:cs="Times New Roman" w:hAnsi="Times New Roman"/>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Ind w:w="0" w:type="dxa"/>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13"/>
        <w:gridCol w:w="3570"/>
        <w:gridCol w:w="3465"/>
        <w:gridCol w:w="3462"/>
      </w:tblGrid>
      <w:tr>
        <w:trPr>
          <w:trHeight w:val="330"/>
        </w:trPr>
        <w:tc>
          <w:tcPr>
            <w:tcW w:w="3513" w:type="dxa"/>
            <w:tcBorders>
              <w:top w:val="nil"/>
              <w:left w:val="nil"/>
              <w:bottom w:val="nil"/>
              <w:right w:val="nil"/>
              <w:tl2br w:val="nil"/>
              <w:tr2bl w:val="nil"/>
            </w:tcBorders>
            <w:noWrap/>
            <w:vAlign w:val="center"/>
          </w:tcPr>
          <w:p>
            <w:pPr>
              <w:rPr>
                <w:rFonts w:ascii="宋体" w:eastAsia="宋体"/>
                <w:b w:val="0"/>
                <w:i w:val="0"/>
                <w:sz w:val="20"/>
              </w:rPr>
            </w:pPr>
          </w:p>
        </w:tc>
        <w:tc>
          <w:tcPr>
            <w:tcW w:w="3570" w:type="dxa"/>
            <w:tcBorders>
              <w:top w:val="nil"/>
              <w:left w:val="nil"/>
              <w:bottom w:val="nil"/>
              <w:right w:val="nil"/>
              <w:tl2br w:val="nil"/>
              <w:tr2bl w:val="nil"/>
            </w:tcBorders>
            <w:noWrap/>
            <w:vAlign w:val="center"/>
          </w:tcPr>
          <w:p>
            <w:pPr>
              <w:rPr>
                <w:rFonts w:ascii="宋体" w:eastAsia="宋体"/>
                <w:b w:val="0"/>
                <w:i w:val="0"/>
                <w:sz w:val="20"/>
              </w:rPr>
            </w:pPr>
          </w:p>
        </w:tc>
        <w:tc>
          <w:tcPr>
            <w:tcW w:w="3465" w:type="dxa"/>
            <w:tcBorders>
              <w:top w:val="nil"/>
              <w:left w:val="nil"/>
              <w:bottom w:val="nil"/>
              <w:right w:val="nil"/>
              <w:tl2br w:val="nil"/>
              <w:tr2bl w:val="nil"/>
            </w:tcBorders>
            <w:noWrap/>
            <w:vAlign w:val="center"/>
          </w:tcPr>
          <w:p>
            <w:pPr>
              <w:rPr>
                <w:rFonts w:ascii="宋体" w:eastAsia="宋体"/>
                <w:b w:val="0"/>
                <w:i w:val="0"/>
                <w:sz w:val="20"/>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1</w:t>
            </w:r>
          </w:p>
        </w:tc>
      </w:tr>
      <w:tr>
        <w:trPr>
          <w:trHeight w:val="660"/>
        </w:trPr>
        <w:tc>
          <w:tcPr>
            <w:tcW w:w="14010"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部门收支总表</w:t>
            </w:r>
          </w:p>
        </w:tc>
      </w:tr>
      <w:tr>
        <w:trPr>
          <w:trHeight w:val="349"/>
        </w:trPr>
        <w:tc>
          <w:tcPr>
            <w:tcW w:w="3513" w:type="dxa"/>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单位：中华人民共和国济南</w:t>
            </w:r>
            <w:r>
              <w:rPr>
                <w:rFonts w:ascii="宋体" w:hint="eastAsia"/>
                <w:b w:val="0"/>
                <w:i w:val="0"/>
                <w:color w:val="000000"/>
                <w:sz w:val="20"/>
                <w:lang w:eastAsia="zh-CN"/>
              </w:rPr>
              <w:t>邮局</w:t>
            </w:r>
            <w:r>
              <w:rPr>
                <w:rFonts w:ascii="宋体" w:eastAsia="宋体"/>
                <w:b w:val="0"/>
                <w:i w:val="0"/>
                <w:color w:val="000000"/>
                <w:sz w:val="20"/>
              </w:rPr>
              <w:t>海关</w:t>
            </w:r>
          </w:p>
        </w:tc>
        <w:tc>
          <w:tcPr>
            <w:tcW w:w="3570"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5"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单位：万元</w:t>
            </w:r>
          </w:p>
        </w:tc>
      </w:tr>
      <w:tr>
        <w:trPr>
          <w:trHeight w:val="396"/>
        </w:trPr>
        <w:tc>
          <w:tcPr>
            <w:tcW w:w="708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69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571.31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一、一般公共服务支出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781.88</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二、政府性基金预算拨款收入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二、公共安全支出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三、国有资本经营预算拨款收入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三、社会保障和就业支出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90.24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四、事业收入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四、卫生健康支出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47.04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五、事业单位经营收入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五、住房保障支出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92.9</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六、其他收入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429.33</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本年收入合计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1000.64</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本年支出合计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1012.06</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使用非财政拨款结余</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结转下年（非财政拨款）</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上年结转</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11.42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收入总计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1012.06</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支出总计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1012.06</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0" w:type="dxa"/>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974"/>
        <w:gridCol w:w="1124"/>
        <w:gridCol w:w="1124"/>
        <w:gridCol w:w="1124"/>
        <w:gridCol w:w="1563"/>
        <w:gridCol w:w="1261"/>
        <w:gridCol w:w="944"/>
        <w:gridCol w:w="1154"/>
        <w:gridCol w:w="1054"/>
        <w:gridCol w:w="1260"/>
        <w:gridCol w:w="1364"/>
      </w:tblGrid>
      <w:tr>
        <w:trPr>
          <w:trHeight w:val="329"/>
        </w:trPr>
        <w:tc>
          <w:tcPr>
            <w:tcW w:w="106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74" w:type="dxa"/>
            <w:tcBorders>
              <w:top w:val="nil"/>
              <w:left w:val="nil"/>
              <w:bottom w:val="nil"/>
              <w:right w:val="nil"/>
              <w:tl2br w:val="nil"/>
              <w:tr2bl w:val="nil"/>
            </w:tcBorders>
            <w:noWrap/>
            <w:vAlign w:val="center"/>
          </w:tcPr>
          <w:p>
            <w:pPr>
              <w:rPr>
                <w:rFonts w:ascii="宋体" w:eastAsia="宋体"/>
                <w:b w:val="0"/>
                <w:i w:val="0"/>
                <w:sz w:val="20"/>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56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4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0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364"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2</w:t>
            </w:r>
          </w:p>
        </w:tc>
      </w:tr>
      <w:tr>
        <w:trPr>
          <w:trHeight w:val="704"/>
        </w:trPr>
        <w:tc>
          <w:tcPr>
            <w:tcW w:w="12646" w:type="dxa"/>
            <w:gridSpan w:val="11"/>
            <w:tcBorders>
              <w:top w:val="nil"/>
              <w:left w:val="nil"/>
              <w:bottom w:val="nil"/>
              <w:right w:val="nil"/>
              <w:tl2br w:val="nil"/>
              <w:tr2bl w:val="nil"/>
            </w:tcBorders>
            <w:noWrap/>
            <w:vAlign w:val="center"/>
          </w:tcPr>
          <w:p>
            <w:pPr>
              <w:jc w:val="center"/>
              <w:rPr>
                <w:rFonts w:ascii="宋体" w:eastAsia="宋体"/>
                <w:b/>
                <w:i w:val="0"/>
                <w:sz w:val="48"/>
              </w:rPr>
            </w:pPr>
            <w:r>
              <w:rPr>
                <w:rFonts w:ascii="宋体" w:eastAsia="宋体"/>
                <w:b/>
                <w:i w:val="0"/>
                <w:sz w:val="48"/>
              </w:rPr>
              <w:t xml:space="preserve">     部门收入总表</w:t>
            </w:r>
          </w:p>
        </w:tc>
        <w:tc>
          <w:tcPr>
            <w:tcW w:w="1364" w:type="dxa"/>
            <w:tcBorders>
              <w:top w:val="nil"/>
              <w:left w:val="nil"/>
              <w:bottom w:val="nil"/>
              <w:right w:val="nil"/>
              <w:tl2br w:val="nil"/>
              <w:tr2bl w:val="nil"/>
            </w:tcBorders>
            <w:noWrap/>
            <w:vAlign w:val="bottom"/>
          </w:tcPr>
          <w:p>
            <w:pPr>
              <w:rPr>
                <w:rFonts w:ascii="Calibri" w:eastAsia="Calibri" w:hAnsi="Calibri"/>
                <w:b w:val="0"/>
                <w:i w:val="0"/>
                <w:sz w:val="24"/>
              </w:rPr>
            </w:pPr>
          </w:p>
        </w:tc>
      </w:tr>
      <w:tr>
        <w:trPr>
          <w:trHeight w:val="284"/>
        </w:trPr>
        <w:tc>
          <w:tcPr>
            <w:tcW w:w="11386" w:type="dxa"/>
            <w:gridSpan w:val="10"/>
            <w:tcBorders>
              <w:top w:val="nil"/>
              <w:left w:val="nil"/>
              <w:bottom w:val="single" w:sz="6" w:space="0" w:color="000000"/>
              <w:right w:val="nil"/>
              <w:tl2br w:val="nil"/>
              <w:tr2bl w:val="nil"/>
            </w:tcBorders>
            <w:noWrap/>
            <w:vAlign w:val="center"/>
          </w:tcPr>
          <w:p>
            <w:pPr>
              <w:rPr>
                <w:rFonts w:ascii="宋体" w:eastAsia="宋体"/>
                <w:b w:val="0"/>
                <w:i w:val="0"/>
                <w:color w:val="000000"/>
                <w:sz w:val="16"/>
              </w:rPr>
            </w:pPr>
            <w:r>
              <w:rPr>
                <w:rFonts w:ascii="宋体" w:eastAsia="宋体"/>
                <w:b w:val="0"/>
                <w:i w:val="0"/>
                <w:color w:val="000000"/>
                <w:sz w:val="16"/>
              </w:rPr>
              <w:t>单位：中华人民共和国济南</w:t>
            </w:r>
            <w:r>
              <w:rPr>
                <w:rFonts w:ascii="宋体" w:hint="eastAsia"/>
                <w:b w:val="0"/>
                <w:i w:val="0"/>
                <w:color w:val="000000"/>
                <w:sz w:val="16"/>
                <w:lang w:eastAsia="zh-CN"/>
              </w:rPr>
              <w:t>邮局</w:t>
            </w:r>
            <w:r>
              <w:rPr>
                <w:rFonts w:ascii="宋体" w:eastAsia="宋体"/>
                <w:b w:val="0"/>
                <w:i w:val="0"/>
                <w:color w:val="000000"/>
                <w:sz w:val="16"/>
              </w:rPr>
              <w:t>海关</w:t>
            </w:r>
          </w:p>
        </w:tc>
        <w:tc>
          <w:tcPr>
            <w:tcW w:w="2624" w:type="dxa"/>
            <w:gridSpan w:val="2"/>
            <w:tcBorders>
              <w:top w:val="nil"/>
              <w:left w:val="nil"/>
              <w:bottom w:val="nil"/>
              <w:right w:val="nil"/>
              <w:tl2br w:val="nil"/>
              <w:tr2bl w:val="nil"/>
            </w:tcBorders>
            <w:noWrap/>
            <w:vAlign w:val="center"/>
          </w:tcPr>
          <w:p>
            <w:pPr>
              <w:jc w:val="right"/>
              <w:rPr>
                <w:rFonts w:ascii="宋体" w:eastAsia="宋体"/>
                <w:b w:val="0"/>
                <w:i w:val="0"/>
                <w:color w:val="000000"/>
                <w:sz w:val="16"/>
              </w:rPr>
            </w:pPr>
            <w:r>
              <w:rPr>
                <w:rFonts w:ascii="宋体" w:eastAsia="宋体"/>
                <w:b w:val="0"/>
                <w:i w:val="0"/>
                <w:color w:val="000000"/>
                <w:sz w:val="16"/>
              </w:rPr>
              <w:t>单位：万元</w:t>
            </w:r>
          </w:p>
        </w:tc>
      </w:tr>
      <w:tr>
        <w:trPr>
          <w:trHeight w:val="359"/>
        </w:trPr>
        <w:tc>
          <w:tcPr>
            <w:tcW w:w="10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合计</w:t>
            </w:r>
          </w:p>
        </w:tc>
        <w:tc>
          <w:tcPr>
            <w:tcW w:w="97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上年结转</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一般公共预算拨款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政府性基金预算拨款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国有资本经营预算拨款</w:t>
            </w:r>
          </w:p>
        </w:tc>
        <w:tc>
          <w:tcPr>
            <w:tcW w:w="282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事业收入</w:t>
            </w:r>
          </w:p>
        </w:tc>
        <w:tc>
          <w:tcPr>
            <w:tcW w:w="9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事业单位经营收入</w:t>
            </w:r>
          </w:p>
        </w:tc>
        <w:tc>
          <w:tcPr>
            <w:tcW w:w="11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上级补助</w:t>
              <w:br/>
              <w:t>收入</w:t>
            </w:r>
          </w:p>
        </w:tc>
        <w:tc>
          <w:tcPr>
            <w:tcW w:w="1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附属单位</w:t>
              <w:br/>
              <w:t>上缴收入</w:t>
            </w:r>
          </w:p>
        </w:tc>
        <w:tc>
          <w:tcPr>
            <w:tcW w:w="126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其他收入</w:t>
            </w:r>
          </w:p>
        </w:tc>
        <w:tc>
          <w:tcPr>
            <w:tcW w:w="13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
              <w:jc w:val="center"/>
              <w:rPr>
                <w:rFonts w:ascii="宋体" w:eastAsia="宋体"/>
                <w:b w:val="0"/>
                <w:i w:val="0"/>
                <w:color w:val="000000"/>
                <w:sz w:val="16"/>
              </w:rPr>
            </w:pPr>
            <w:r>
              <w:rPr>
                <w:rFonts w:ascii="宋体" w:eastAsia="宋体"/>
                <w:b w:val="0"/>
                <w:i w:val="0"/>
                <w:color w:val="000000"/>
                <w:sz w:val="16"/>
              </w:rPr>
              <w:t>使用非财政拨款结余</w:t>
            </w:r>
          </w:p>
        </w:tc>
      </w:tr>
      <w:tr>
        <w:trPr>
          <w:trHeight w:val="539"/>
        </w:trPr>
        <w:tc>
          <w:tcPr>
            <w:tcW w:w="106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金额</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其中：财政专户管理资金</w:t>
            </w:r>
          </w:p>
        </w:tc>
        <w:tc>
          <w:tcPr>
            <w:tcW w:w="9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26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61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74"/>
        </w:trPr>
        <w:tc>
          <w:tcPr>
            <w:tcW w:w="10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lang w:val="en-US" w:eastAsia="zh-CN"/>
              </w:rPr>
            </w:pPr>
            <w:r>
              <w:rPr>
                <w:rFonts w:ascii="宋体" w:hint="eastAsia"/>
                <w:b w:val="0"/>
                <w:i w:val="0"/>
                <w:sz w:val="16"/>
                <w:lang w:val="en-US" w:eastAsia="zh-CN"/>
              </w:rPr>
              <w:t>1012.06</w:t>
            </w:r>
          </w:p>
        </w:tc>
        <w:tc>
          <w:tcPr>
            <w:tcW w:w="9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lang w:val="en-US" w:eastAsia="zh-CN"/>
              </w:rPr>
            </w:pPr>
            <w:r>
              <w:rPr>
                <w:rFonts w:ascii="宋体" w:hint="eastAsia"/>
                <w:b w:val="0"/>
                <w:i w:val="0"/>
                <w:sz w:val="16"/>
                <w:lang w:val="en-US" w:eastAsia="zh-CN"/>
              </w:rPr>
              <w:t>11.42</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lang w:val="en-US" w:eastAsia="zh-CN"/>
              </w:rPr>
            </w:pPr>
            <w:r>
              <w:rPr>
                <w:rFonts w:ascii="宋体" w:hint="eastAsia"/>
                <w:b w:val="0"/>
                <w:i w:val="0"/>
                <w:sz w:val="16"/>
                <w:lang w:val="en-US" w:eastAsia="zh-CN"/>
              </w:rPr>
              <w:t>571.33</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lang w:val="en-US" w:eastAsia="zh-CN"/>
              </w:rPr>
            </w:pPr>
            <w:r>
              <w:rPr>
                <w:rFonts w:ascii="宋体" w:hint="eastAsia"/>
                <w:b w:val="0"/>
                <w:i w:val="0"/>
                <w:sz w:val="16"/>
                <w:lang w:val="en-US" w:eastAsia="zh-CN"/>
              </w:rPr>
              <w:t>429.33</w:t>
            </w:r>
          </w:p>
        </w:tc>
        <w:tc>
          <w:tcPr>
            <w:tcW w:w="13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tblpPr w:leftFromText="180" w:rightFromText="180" w:vertAnchor="text" w:horzAnchor="page" w:tblpX="783" w:tblpY="-885"/>
        <w:tblOverlap w:val="never"/>
        <w:tblW w:w="535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87"/>
        <w:gridCol w:w="4228"/>
        <w:gridCol w:w="1181"/>
        <w:gridCol w:w="1181"/>
        <w:gridCol w:w="1169"/>
        <w:gridCol w:w="1606"/>
        <w:gridCol w:w="2052"/>
        <w:gridCol w:w="2274"/>
      </w:tblGrid>
      <w:tr>
        <w:trPr>
          <w:trHeight w:val="303"/>
        </w:trPr>
        <w:tc>
          <w:tcPr>
            <w:tcW w:w="490"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1393"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389"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389"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385"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529"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1424" w:type="pct"/>
            <w:gridSpan w:val="2"/>
            <w:tcBorders>
              <w:top w:val="nil"/>
              <w:left w:val="nil"/>
              <w:bottom w:val="nil"/>
              <w:right w:val="nil"/>
              <w:tl2br w:val="nil"/>
              <w:tr2bl w:val="nil"/>
            </w:tcBorders>
            <w:noWrap/>
            <w:vAlign w:val="bottom"/>
          </w:tcPr>
          <w:p>
            <w:pPr>
              <w:pStyle w:val="37"/>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3</w:t>
            </w:r>
          </w:p>
        </w:tc>
      </w:tr>
      <w:tr>
        <w:trPr>
          <w:trHeight w:val="606"/>
        </w:trPr>
        <w:tc>
          <w:tcPr>
            <w:tcW w:w="5000" w:type="pct"/>
            <w:gridSpan w:val="8"/>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部门支出总表</w:t>
            </w:r>
          </w:p>
        </w:tc>
      </w:tr>
      <w:tr>
        <w:trPr>
          <w:trHeight w:val="303"/>
        </w:trPr>
        <w:tc>
          <w:tcPr>
            <w:tcW w:w="4251" w:type="pct"/>
            <w:gridSpan w:val="7"/>
            <w:tcBorders>
              <w:top w:val="nil"/>
              <w:left w:val="nil"/>
              <w:bottom w:val="nil"/>
              <w:right w:val="nil"/>
              <w:tl2br w:val="nil"/>
              <w:tr2bl w:val="nil"/>
            </w:tcBorders>
            <w:noWrap/>
            <w:vAlign w:val="center"/>
          </w:tcPr>
          <w:p>
            <w:pPr>
              <w:rPr>
                <w:rFonts w:ascii="宋体" w:eastAsia="宋体"/>
                <w:b w:val="0"/>
                <w:i w:val="0"/>
                <w:color w:val="000000"/>
                <w:sz w:val="16"/>
              </w:rPr>
            </w:pPr>
            <w:r>
              <w:rPr>
                <w:rFonts w:ascii="宋体" w:eastAsia="宋体"/>
                <w:b w:val="0"/>
                <w:i w:val="0"/>
                <w:color w:val="000000"/>
                <w:sz w:val="16"/>
              </w:rPr>
              <w:t>单位：中华人民共和国</w:t>
            </w:r>
            <w:r>
              <w:rPr>
                <w:rFonts w:ascii="宋体" w:hint="eastAsia"/>
                <w:b w:val="0"/>
                <w:i w:val="0"/>
                <w:color w:val="000000"/>
                <w:sz w:val="16"/>
                <w:lang w:eastAsia="zh-CN"/>
              </w:rPr>
              <w:t>济南邮局</w:t>
            </w:r>
            <w:r>
              <w:rPr>
                <w:rFonts w:ascii="宋体" w:eastAsia="宋体"/>
                <w:b w:val="0"/>
                <w:i w:val="0"/>
                <w:color w:val="000000"/>
                <w:sz w:val="16"/>
              </w:rPr>
              <w:t>海关</w:t>
            </w:r>
          </w:p>
        </w:tc>
        <w:tc>
          <w:tcPr>
            <w:tcW w:w="748" w:type="pct"/>
            <w:tcBorders>
              <w:top w:val="nil"/>
              <w:left w:val="nil"/>
              <w:bottom w:val="nil"/>
              <w:right w:val="nil"/>
              <w:tl2br w:val="nil"/>
              <w:tr2bl w:val="nil"/>
            </w:tcBorders>
            <w:noWrap/>
            <w:vAlign w:val="center"/>
          </w:tcPr>
          <w:p>
            <w:pPr>
              <w:jc w:val="right"/>
              <w:rPr>
                <w:rFonts w:ascii="宋体" w:eastAsia="宋体"/>
                <w:b w:val="0"/>
                <w:i w:val="0"/>
                <w:color w:val="000000"/>
                <w:sz w:val="16"/>
              </w:rPr>
            </w:pPr>
            <w:r>
              <w:rPr>
                <w:rFonts w:ascii="宋体" w:eastAsia="宋体"/>
                <w:b w:val="0"/>
                <w:i w:val="0"/>
                <w:color w:val="000000"/>
                <w:sz w:val="16"/>
              </w:rPr>
              <w:t>单位：万元</w:t>
            </w:r>
          </w:p>
        </w:tc>
      </w:tr>
      <w:tr>
        <w:trPr>
          <w:trHeight w:val="818"/>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科目代码</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科目名称</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合计</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基本支出</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项目支出</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上缴上级支出</w:t>
            </w: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事业单位经营支出</w:t>
            </w: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对附属单位补助支出</w:t>
            </w: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一般公共服务支出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781.88</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767.61</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14.27</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海关事务</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781.88</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767.61</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14.27</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行政运行</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767.61</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767.61</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2010909</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海关关务</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11.77</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11.77</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2010912</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检验检疫</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2.5</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2.5</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208</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社会保障和就业支出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90.24</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90.24</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行政事业单位养老支出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90.24</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90.24</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2080505</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机关事业单位基本养老保险缴费支出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60.16</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60.16</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2080506</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机关事业单位职业年金缴费支出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30.08</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30.08</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210</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卫生健康支出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47.04</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47.04</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行政事业单位医疗</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47.04</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47.04</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行政单位医疗</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33.6</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cs="宋体" w:hint="eastAsia"/>
                <w:sz w:val="16"/>
                <w:lang w:val="en-US" w:eastAsia="zh-CN"/>
              </w:rPr>
              <w:t>33.6</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2101103</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公务员医疗补助</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13.44</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13.44</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221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住房保障支出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92.9</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92.9</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住房改革支出</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92.9</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92.9</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2210201</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住房公积金</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64.01</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64.01</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490"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2210203</w:t>
            </w:r>
          </w:p>
        </w:tc>
        <w:tc>
          <w:tcPr>
            <w:tcW w:w="13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购房补贴</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28.89</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lang w:val="en-US" w:eastAsia="zh-CN"/>
              </w:rPr>
            </w:pPr>
            <w:r>
              <w:rPr>
                <w:rFonts w:ascii="宋体" w:cs="宋体" w:hint="eastAsia"/>
                <w:sz w:val="16"/>
                <w:lang w:val="en-US" w:eastAsia="zh-CN"/>
              </w:rPr>
              <w:t>28.89</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03"/>
        </w:trPr>
        <w:tc>
          <w:tcPr>
            <w:tcW w:w="188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i w:val="0"/>
                <w:strike w:val="0"/>
                <w:dstrike w:val="0"/>
                <w:color w:val="auto"/>
                <w:sz w:val="16"/>
              </w:rPr>
            </w:pPr>
            <w:r>
              <w:rPr>
                <w:rFonts w:ascii="宋体"/>
                <w:b/>
                <w:i w:val="0"/>
                <w:strike w:val="0"/>
                <w:dstrike w:val="0"/>
                <w:color w:val="auto"/>
                <w:sz w:val="16"/>
              </w:rPr>
              <w:t>合计</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sz w:val="16"/>
                <w:lang w:val="en-US" w:eastAsia="zh-CN"/>
              </w:rPr>
            </w:pPr>
            <w:r>
              <w:rPr>
                <w:rFonts w:ascii="宋体" w:cs="宋体" w:hint="eastAsia"/>
                <w:b/>
                <w:i w:val="0"/>
                <w:sz w:val="16"/>
                <w:lang w:val="en-US" w:eastAsia="zh-CN"/>
              </w:rPr>
              <w:t>1012.06</w:t>
            </w:r>
          </w:p>
        </w:tc>
        <w:tc>
          <w:tcPr>
            <w:tcW w:w="38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sz w:val="16"/>
              </w:rPr>
            </w:pPr>
            <w:r>
              <w:rPr>
                <w:rFonts w:ascii="宋体" w:cs="宋体" w:hint="eastAsia"/>
                <w:b/>
                <w:i w:val="0"/>
                <w:sz w:val="16"/>
                <w:lang w:val="en-US" w:eastAsia="zh-CN"/>
              </w:rPr>
              <w:t>997.79</w:t>
            </w:r>
          </w:p>
        </w:tc>
        <w:tc>
          <w:tcPr>
            <w:tcW w:w="385"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sz w:val="16"/>
              </w:rPr>
            </w:pPr>
            <w:r>
              <w:rPr>
                <w:rFonts w:ascii="宋体" w:cs="宋体" w:hint="eastAsia"/>
                <w:b/>
                <w:i w:val="0"/>
                <w:sz w:val="16"/>
                <w:lang w:val="en-US" w:eastAsia="zh-CN"/>
              </w:rPr>
              <w:t>14.27</w:t>
            </w:r>
          </w:p>
        </w:tc>
        <w:tc>
          <w:tcPr>
            <w:tcW w:w="5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c>
          <w:tcPr>
            <w:tcW w:w="6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c>
          <w:tcPr>
            <w:tcW w:w="7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r>
    </w:tbl>
    <w:p>
      <w:pPr>
        <w:jc w:val="left"/>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0" w:type="dxa"/>
        <w:tblW w:w="140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01"/>
        <w:gridCol w:w="3505"/>
        <w:gridCol w:w="3503"/>
        <w:gridCol w:w="3503"/>
      </w:tblGrid>
      <w:tr>
        <w:trPr>
          <w:trHeight w:val="335"/>
        </w:trPr>
        <w:tc>
          <w:tcPr>
            <w:tcW w:w="3501"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4</w:t>
            </w:r>
          </w:p>
        </w:tc>
      </w:tr>
      <w:tr>
        <w:trPr>
          <w:trHeight w:val="670"/>
        </w:trPr>
        <w:tc>
          <w:tcPr>
            <w:tcW w:w="14011"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财政拨款收支总表</w:t>
            </w:r>
          </w:p>
        </w:tc>
      </w:tr>
      <w:tr>
        <w:trPr>
          <w:trHeight w:val="317"/>
        </w:trPr>
        <w:tc>
          <w:tcPr>
            <w:tcW w:w="10508" w:type="dxa"/>
            <w:gridSpan w:val="3"/>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单位：中华人民共和国济南</w:t>
            </w:r>
            <w:r>
              <w:rPr>
                <w:rFonts w:ascii="宋体" w:hint="eastAsia"/>
                <w:b w:val="0"/>
                <w:i w:val="0"/>
                <w:color w:val="000000"/>
                <w:sz w:val="20"/>
                <w:lang w:eastAsia="zh-CN"/>
              </w:rPr>
              <w:t>邮局</w:t>
            </w:r>
            <w:r>
              <w:rPr>
                <w:rFonts w:ascii="宋体" w:eastAsia="宋体"/>
                <w:b w:val="0"/>
                <w:i w:val="0"/>
                <w:color w:val="000000"/>
                <w:sz w:val="20"/>
              </w:rPr>
              <w:t>海关</w:t>
            </w: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宋体" w:eastAsia="宋体"/>
                <w:b w:val="0"/>
                <w:i w:val="0"/>
                <w:color w:val="000000"/>
                <w:sz w:val="20"/>
              </w:rPr>
              <w:t>单位：万元</w:t>
            </w:r>
          </w:p>
        </w:tc>
      </w:tr>
      <w:tr>
        <w:trPr>
          <w:trHeight w:val="381"/>
        </w:trPr>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一、本年收入</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571.31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571.31</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571.31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（一）一般公共服务支出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413.77</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（二）公共安全支出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（三）社会保障和就业支出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55.88</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（四）卫生健康支出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23.69</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二、上年结转</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（五）住房保障支出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lang w:val="en-US" w:eastAsia="zh-CN"/>
              </w:rPr>
            </w:pPr>
            <w:r>
              <w:rPr>
                <w:rFonts w:ascii="宋体" w:hint="eastAsia"/>
                <w:b w:val="0"/>
                <w:i w:val="0"/>
                <w:color w:val="000000"/>
                <w:sz w:val="18"/>
                <w:lang w:val="en-US" w:eastAsia="zh-CN"/>
              </w:rPr>
              <w:t>77.97</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收入总计</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571.31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支出总计</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lang w:val="en-US" w:eastAsia="zh-CN"/>
              </w:rPr>
            </w:pPr>
            <w:r>
              <w:rPr>
                <w:rFonts w:ascii="宋体" w:hint="eastAsia"/>
                <w:b w:val="0"/>
                <w:i w:val="0"/>
                <w:sz w:val="20"/>
                <w:lang w:val="en-US" w:eastAsia="zh-CN"/>
              </w:rPr>
              <w:t>571.31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3" w:type="dxa"/>
        <w:tblW w:w="148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20"/>
        <w:gridCol w:w="3000"/>
        <w:gridCol w:w="1080"/>
        <w:gridCol w:w="1080"/>
        <w:gridCol w:w="1080"/>
        <w:gridCol w:w="1080"/>
        <w:gridCol w:w="1080"/>
        <w:gridCol w:w="1080"/>
        <w:gridCol w:w="1080"/>
        <w:gridCol w:w="1080"/>
        <w:gridCol w:w="1080"/>
        <w:gridCol w:w="1080"/>
      </w:tblGrid>
      <w:tr>
        <w:trPr>
          <w:trHeight w:val="270"/>
        </w:trPr>
        <w:tc>
          <w:tcPr>
            <w:tcW w:w="14820" w:type="dxa"/>
            <w:gridSpan w:val="12"/>
            <w:tcBorders>
              <w:top w:val="nil"/>
              <w:left w:val="nil"/>
              <w:bottom w:val="nil"/>
              <w:right w:val="nil"/>
            </w:tcBorders>
            <w:shd w:val="clear" w:color="auto" w:fill="auto"/>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部门公开表5</w:t>
            </w:r>
          </w:p>
        </w:tc>
      </w:tr>
      <w:tr>
        <w:trPr>
          <w:trHeight w:val="450"/>
        </w:trPr>
        <w:tc>
          <w:tcPr>
            <w:tcW w:w="14820" w:type="dxa"/>
            <w:gridSpan w:val="12"/>
            <w:tcBorders>
              <w:top w:val="nil"/>
              <w:left w:val="nil"/>
              <w:bottom w:val="nil"/>
              <w:right w:val="nil"/>
            </w:tcBorders>
            <w:shd w:val="clear" w:color="auto" w:fill="auto"/>
            <w:vAlign w:val="center"/>
          </w:tcPr>
          <w:p>
            <w:pPr>
              <w:jc w:val="center"/>
              <w:rPr>
                <w:rFonts w:ascii="宋体" w:cs="宋体"/>
                <w:color w:val="000000"/>
                <w:kern w:val="0"/>
                <w:sz w:val="36"/>
                <w:szCs w:val="36"/>
              </w:rPr>
            </w:pPr>
            <w:r>
              <w:rPr>
                <w:rFonts w:ascii="宋体" w:cs="宋体" w:hint="eastAsia"/>
                <w:b/>
                <w:color w:val="000000"/>
                <w:sz w:val="48"/>
              </w:rPr>
              <w:t>一般公共预算支出表</w:t>
            </w:r>
          </w:p>
        </w:tc>
      </w:tr>
      <w:tr>
        <w:trPr>
          <w:trHeight w:val="285"/>
        </w:trPr>
        <w:tc>
          <w:tcPr>
            <w:tcW w:w="4020" w:type="dxa"/>
            <w:gridSpan w:val="2"/>
            <w:tcBorders>
              <w:top w:val="nil"/>
              <w:left w:val="nil"/>
              <w:bottom w:val="single" w:sz="8" w:space="0" w:color="auto"/>
              <w:right w:val="nil"/>
            </w:tcBorders>
            <w:shd w:val="clear" w:color="auto" w:fill="auto"/>
            <w:vAlign w:val="center"/>
          </w:tcPr>
          <w:p>
            <w:pPr>
              <w:widowControl/>
              <w:rPr>
                <w:rFonts w:ascii="宋体" w:cs="宋体" w:hint="eastAsia"/>
                <w:color w:val="000000"/>
                <w:kern w:val="0"/>
                <w:sz w:val="16"/>
                <w:szCs w:val="16"/>
              </w:rPr>
            </w:pPr>
            <w:r>
              <w:rPr>
                <w:rFonts w:ascii="宋体" w:cs="宋体" w:hint="eastAsia"/>
                <w:color w:val="000000"/>
                <w:kern w:val="0"/>
                <w:sz w:val="16"/>
                <w:szCs w:val="16"/>
              </w:rPr>
              <w:t>单位：中华人民共和国济南</w:t>
            </w:r>
            <w:r>
              <w:rPr>
                <w:rFonts w:ascii="宋体" w:cs="宋体" w:hint="eastAsia"/>
                <w:color w:val="000000"/>
                <w:kern w:val="0"/>
                <w:sz w:val="16"/>
                <w:szCs w:val="16"/>
                <w:lang w:eastAsia="zh-CN"/>
              </w:rPr>
              <w:t>邮局</w:t>
            </w:r>
            <w:r>
              <w:rPr>
                <w:rFonts w:ascii="宋体" w:cs="宋体" w:hint="eastAsia"/>
                <w:color w:val="000000"/>
                <w:kern w:val="0"/>
                <w:sz w:val="16"/>
                <w:szCs w:val="16"/>
              </w:rPr>
              <w:t>海关</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right"/>
              <w:rPr>
                <w:rFonts w:ascii="宋体" w:cs="宋体" w:hint="eastAsia"/>
                <w:color w:val="000000"/>
                <w:kern w:val="0"/>
                <w:sz w:val="16"/>
                <w:szCs w:val="16"/>
              </w:rPr>
            </w:pPr>
            <w:r>
              <w:rPr>
                <w:rFonts w:ascii="宋体" w:cs="宋体" w:hint="eastAsia"/>
                <w:color w:val="000000"/>
                <w:kern w:val="0"/>
                <w:sz w:val="16"/>
                <w:szCs w:val="16"/>
              </w:rPr>
              <w:t>单位：万元</w:t>
            </w:r>
          </w:p>
        </w:tc>
      </w:tr>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4320"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40"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300"/>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一般公共服务支出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459.45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459.45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413.77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14.27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413.77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45.68</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9.94</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45.68</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9.94</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海关事务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459.45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459.45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413.77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14.27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413.77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45.68</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9.94</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45.68</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9.94</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行政运行</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395.42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395.42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399.5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4.08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1.03</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4.08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1.03</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hint="eastAsia"/>
                <w:b w:val="0"/>
                <w:i w:val="0"/>
                <w:sz w:val="16"/>
                <w:szCs w:val="16"/>
                <w:lang w:val="en-US" w:eastAsia="zh-CN"/>
              </w:rPr>
            </w:pPr>
            <w:r>
              <w:rPr>
                <w:rFonts w:ascii="宋体" w:eastAsia="宋体"/>
                <w:b w:val="0"/>
                <w:i w:val="0"/>
                <w:sz w:val="16"/>
                <w:szCs w:val="16"/>
              </w:rPr>
              <w:t>201090</w:t>
            </w:r>
            <w:r>
              <w:rPr>
                <w:rFonts w:ascii="宋体" w:hint="eastAsia"/>
                <w:b w:val="0"/>
                <w:i w:val="0"/>
                <w:sz w:val="16"/>
                <w:szCs w:val="16"/>
                <w:lang w:val="en-US" w:eastAsia="zh-CN"/>
              </w:rPr>
              <w:t>5</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hint="eastAsia"/>
                <w:b w:val="0"/>
                <w:i w:val="0"/>
                <w:sz w:val="16"/>
                <w:szCs w:val="16"/>
                <w:lang w:eastAsia="zh-CN"/>
              </w:rPr>
            </w:pPr>
            <w:r>
              <w:rPr>
                <w:rFonts w:ascii="宋体" w:hint="eastAsia"/>
                <w:b w:val="0"/>
                <w:i w:val="0"/>
                <w:sz w:val="16"/>
                <w:szCs w:val="16"/>
                <w:lang w:eastAsia="zh-CN"/>
              </w:rPr>
              <w:t>缉私办案</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12.24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12.24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hint="eastAsia"/>
                <w:b w:val="0"/>
                <w:i w:val="0"/>
                <w:sz w:val="16"/>
                <w:szCs w:val="16"/>
                <w:lang w:val="en-US" w:eastAsia="zh-CN"/>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12.24</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100</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12.24</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100</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海关关务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7.79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7.79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11.77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11.77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11.77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3.98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51.09</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3.98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51.09</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海关监管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hint="eastAsia"/>
                <w:b w:val="0"/>
                <w:i w:val="0"/>
                <w:sz w:val="16"/>
                <w:szCs w:val="16"/>
                <w:lang w:eastAsia="zh-CN"/>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-21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-100</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-21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-100</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检验检疫</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rPr>
              <w:t>-</w:t>
            </w:r>
            <w:r>
              <w:rPr>
                <w:rFonts w:ascii="宋体" w:hint="eastAsia"/>
                <w:b w:val="0"/>
                <w:i w:val="0"/>
                <w:sz w:val="16"/>
                <w:szCs w:val="16"/>
                <w:lang w:val="en-US" w:eastAsia="zh-CN"/>
              </w:rPr>
              <w:t>20.5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89.13</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20.5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89.13</w:t>
            </w:r>
            <w:r>
              <w:rPr>
                <w:rFonts w:ascii="宋体" w:hint="eastAsia"/>
                <w:b w:val="0"/>
                <w:i w:val="0"/>
                <w:sz w:val="16"/>
                <w:szCs w:val="16"/>
              </w:rPr>
              <w:t>%</w:t>
            </w:r>
          </w:p>
        </w:tc>
      </w:tr>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4320"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40"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285"/>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48.64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48.64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7.24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14.88</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7.24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14.88</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48.64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48.64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color w:val="000000"/>
                <w:sz w:val="18"/>
                <w:lang w:val="en-US" w:eastAsia="zh-CN"/>
              </w:rPr>
              <w:t>55.88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7.24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14.88</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7.24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14.88</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32.43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32.43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37.25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37.25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37.25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4.82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14.86</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4.82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14.86</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16.21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16.21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18.63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18.63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18.63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2.42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14.93</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2.42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14.93</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24.65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24.65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rPr>
              <w:t>-</w:t>
            </w:r>
            <w:r>
              <w:rPr>
                <w:rFonts w:ascii="宋体" w:hint="eastAsia"/>
                <w:b w:val="0"/>
                <w:i w:val="0"/>
                <w:sz w:val="16"/>
                <w:szCs w:val="16"/>
                <w:lang w:val="en-US" w:eastAsia="zh-CN"/>
              </w:rPr>
              <w:t>0.96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3.89</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0.96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3.89</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24.65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24.65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23.69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0.96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3.89</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0.96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3.89</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21.5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21.5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16.92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16.92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16.92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rPr>
              <w:t>-</w:t>
            </w:r>
            <w:r>
              <w:rPr>
                <w:rFonts w:ascii="宋体" w:hint="eastAsia"/>
                <w:b w:val="0"/>
                <w:i w:val="0"/>
                <w:sz w:val="16"/>
                <w:szCs w:val="16"/>
                <w:lang w:val="en-US" w:eastAsia="zh-CN"/>
              </w:rPr>
              <w:t>4.58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-2</w:t>
            </w:r>
            <w:r>
              <w:rPr>
                <w:rFonts w:ascii="宋体" w:hint="eastAsia"/>
                <w:b w:val="0"/>
                <w:i w:val="0"/>
                <w:sz w:val="16"/>
                <w:szCs w:val="16"/>
                <w:lang w:val="en-US" w:eastAsia="zh-CN"/>
              </w:rPr>
              <w:t>1.3</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w:t>
            </w:r>
            <w:r>
              <w:rPr>
                <w:rFonts w:ascii="宋体" w:hint="eastAsia"/>
                <w:b w:val="0"/>
                <w:i w:val="0"/>
                <w:sz w:val="16"/>
                <w:szCs w:val="16"/>
                <w:lang w:val="en-US" w:eastAsia="zh-CN"/>
              </w:rPr>
              <w:t>4.58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rPr>
              <w:t>-2</w:t>
            </w:r>
            <w:r>
              <w:rPr>
                <w:rFonts w:ascii="宋体" w:hint="eastAsia"/>
                <w:b w:val="0"/>
                <w:i w:val="0"/>
                <w:sz w:val="16"/>
                <w:szCs w:val="16"/>
                <w:lang w:val="en-US" w:eastAsia="zh-CN"/>
              </w:rPr>
              <w:t>1.3</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3.15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3.15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6.77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6.77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6.77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3.62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114.92</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3.62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114.92</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75.14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75.14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2.83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3.77</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2.83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3.77</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75.14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75.14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77.97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2.83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3.77</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2.83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3.77</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50.07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50.07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49.08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49.08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val="0"/>
                <w:i w:val="0"/>
                <w:sz w:val="16"/>
                <w:szCs w:val="16"/>
                <w:lang w:val="en-US" w:eastAsia="zh-CN"/>
              </w:rPr>
            </w:pPr>
            <w:r>
              <w:rPr>
                <w:rFonts w:ascii="宋体" w:hint="eastAsia"/>
                <w:b w:val="0"/>
                <w:i w:val="0"/>
                <w:sz w:val="16"/>
                <w:szCs w:val="16"/>
                <w:lang w:val="en-US" w:eastAsia="zh-CN"/>
              </w:rPr>
              <w:t>-0.99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-1.98</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-0.99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-1.98</w:t>
            </w:r>
            <w:r>
              <w:rPr>
                <w:rFonts w:ascii="宋体" w:hint="eastAsia"/>
                <w:b w:val="0"/>
                <w:i w:val="0"/>
                <w:sz w:val="16"/>
                <w:szCs w:val="16"/>
              </w:rPr>
              <w:t>%</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25.07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25.07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28.89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16"/>
                <w:szCs w:val="16"/>
                <w:lang w:val="en-US" w:eastAsia="zh-CN"/>
              </w:rPr>
            </w:pPr>
            <w:r>
              <w:rPr>
                <w:rFonts w:ascii="宋体" w:hint="eastAsia"/>
                <w:b w:val="0"/>
                <w:i w:val="0"/>
                <w:sz w:val="16"/>
                <w:szCs w:val="16"/>
                <w:lang w:val="en-US" w:eastAsia="zh-CN"/>
              </w:rPr>
              <w:t>28.89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hint="eastAsia"/>
                <w:b w:val="0"/>
                <w:i w:val="0"/>
                <w:sz w:val="16"/>
                <w:szCs w:val="16"/>
                <w:lang w:val="en-US" w:eastAsia="zh-CN"/>
              </w:rPr>
              <w:t>28.89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3.82</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15.24</w:t>
            </w:r>
            <w:r>
              <w:rPr>
                <w:rFonts w:ascii="宋体" w:hint="eastAsia"/>
                <w:b w:val="0"/>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3.82</w:t>
            </w:r>
            <w:r>
              <w:rPr>
                <w:rFonts w:ascii="宋体" w:hint="eastAsia"/>
                <w:b w:val="0"/>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val="0"/>
                <w:i w:val="0"/>
                <w:sz w:val="16"/>
                <w:szCs w:val="16"/>
              </w:rPr>
            </w:pPr>
            <w:r>
              <w:rPr>
                <w:rFonts w:ascii="宋体" w:hint="eastAsia"/>
                <w:b w:val="0"/>
                <w:i w:val="0"/>
                <w:sz w:val="16"/>
                <w:szCs w:val="16"/>
                <w:lang w:val="en-US" w:eastAsia="zh-CN"/>
              </w:rPr>
              <w:t>15.24</w:t>
            </w:r>
            <w:r>
              <w:rPr>
                <w:rFonts w:ascii="宋体" w:hint="eastAsia"/>
                <w:b w:val="0"/>
                <w:i w:val="0"/>
                <w:sz w:val="16"/>
                <w:szCs w:val="16"/>
              </w:rPr>
              <w:t>%</w:t>
            </w:r>
          </w:p>
        </w:tc>
      </w:tr>
      <w:tr>
        <w:trPr>
          <w:trHeight w:val="285"/>
        </w:trPr>
        <w:tc>
          <w:tcPr>
            <w:tcW w:w="402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b/>
                <w:i w:val="0"/>
                <w:sz w:val="16"/>
                <w:szCs w:val="16"/>
                <w:lang w:val="en-US" w:eastAsia="zh-CN"/>
              </w:rPr>
            </w:pPr>
            <w:r>
              <w:rPr>
                <w:rFonts w:ascii="宋体" w:hint="eastAsia"/>
                <w:b/>
                <w:i w:val="0"/>
                <w:sz w:val="16"/>
                <w:szCs w:val="16"/>
                <w:lang w:val="en-US" w:eastAsia="zh-CN"/>
              </w:rPr>
              <w:t>607.88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i w:val="0"/>
                <w:sz w:val="16"/>
                <w:szCs w:val="16"/>
              </w:rPr>
            </w:pPr>
            <w:r>
              <w:rPr>
                <w:rFonts w:ascii="宋体" w:hint="eastAsia"/>
                <w:b/>
                <w:i w:val="0"/>
                <w:sz w:val="16"/>
                <w:szCs w:val="16"/>
                <w:lang w:val="en-US" w:eastAsia="zh-CN"/>
              </w:rPr>
              <w:t>607.88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i w:val="0"/>
                <w:sz w:val="16"/>
                <w:szCs w:val="16"/>
                <w:lang w:val="en-US" w:eastAsia="zh-CN"/>
              </w:rPr>
            </w:pPr>
            <w:r>
              <w:rPr>
                <w:rFonts w:ascii="宋体" w:hint="eastAsia"/>
                <w:b/>
                <w:i w:val="0"/>
                <w:sz w:val="16"/>
                <w:szCs w:val="16"/>
                <w:lang w:val="en-US" w:eastAsia="zh-CN"/>
              </w:rPr>
              <w:t>571.31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i w:val="0"/>
                <w:sz w:val="16"/>
                <w:szCs w:val="16"/>
                <w:lang w:val="en-US" w:eastAsia="zh-CN"/>
              </w:rPr>
            </w:pPr>
            <w:r>
              <w:rPr>
                <w:rFonts w:ascii="宋体" w:hint="eastAsia"/>
                <w:b/>
                <w:i w:val="0"/>
                <w:sz w:val="16"/>
                <w:szCs w:val="16"/>
                <w:lang w:val="en-US" w:eastAsia="zh-CN"/>
              </w:rPr>
              <w:t>557.04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i w:val="0"/>
                <w:sz w:val="16"/>
                <w:szCs w:val="16"/>
                <w:lang w:val="en-US" w:eastAsia="zh-CN"/>
              </w:rPr>
            </w:pPr>
            <w:r>
              <w:rPr>
                <w:rFonts w:ascii="宋体" w:hint="eastAsia"/>
                <w:b/>
                <w:i w:val="0"/>
                <w:sz w:val="16"/>
                <w:szCs w:val="16"/>
                <w:lang w:val="en-US" w:eastAsia="zh-CN"/>
              </w:rPr>
              <w:t>14.27</w:t>
            </w:r>
          </w:p>
        </w:tc>
        <w:tc>
          <w:tcPr>
            <w:tcW w:w="1080" w:type="dxa"/>
            <w:tcBorders>
              <w:top w:val="nil"/>
              <w:left w:val="nil"/>
              <w:bottom w:val="single" w:sz="8" w:space="0" w:color="auto"/>
              <w:right w:val="single" w:sz="8" w:space="0" w:color="auto"/>
            </w:tcBorders>
            <w:shd w:val="clear" w:color="auto" w:fill="auto"/>
            <w:noWrap/>
            <w:vAlign w:val="center"/>
          </w:tcPr>
          <w:p>
            <w:pPr>
              <w:pStyle w:val="86"/>
              <w:rPr>
                <w:rFonts w:ascii="宋体" w:eastAsia="宋体"/>
                <w:b/>
                <w:i w:val="0"/>
                <w:sz w:val="16"/>
                <w:szCs w:val="16"/>
                <w:lang w:val="en-US" w:eastAsia="zh-CN"/>
              </w:rPr>
            </w:pPr>
            <w:r>
              <w:rPr>
                <w:rFonts w:ascii="宋体" w:hint="eastAsia"/>
                <w:b/>
                <w:i w:val="0"/>
                <w:sz w:val="16"/>
                <w:szCs w:val="16"/>
                <w:lang w:val="en-US" w:eastAsia="zh-CN"/>
              </w:rPr>
              <w:t>571.31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bCs/>
                <w:i w:val="0"/>
                <w:sz w:val="16"/>
                <w:szCs w:val="16"/>
              </w:rPr>
            </w:pPr>
            <w:r>
              <w:rPr>
                <w:rFonts w:ascii="宋体" w:hint="eastAsia"/>
                <w:b/>
                <w:bCs/>
                <w:i w:val="0"/>
                <w:sz w:val="16"/>
                <w:szCs w:val="16"/>
              </w:rPr>
              <w:t>-</w:t>
            </w:r>
            <w:r>
              <w:rPr>
                <w:rFonts w:ascii="宋体" w:hint="eastAsia"/>
                <w:b/>
                <w:bCs/>
                <w:i w:val="0"/>
                <w:sz w:val="16"/>
                <w:szCs w:val="16"/>
                <w:lang w:val="en-US" w:eastAsia="zh-CN"/>
              </w:rPr>
              <w:t>36.57</w:t>
            </w:r>
            <w:r>
              <w:rPr>
                <w:rFonts w:ascii="宋体" w:hint="eastAsia"/>
                <w:b/>
                <w:bCs/>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bCs/>
                <w:i w:val="0"/>
                <w:sz w:val="16"/>
                <w:szCs w:val="16"/>
              </w:rPr>
            </w:pPr>
            <w:r>
              <w:rPr>
                <w:rFonts w:ascii="宋体" w:hint="eastAsia"/>
                <w:b/>
                <w:bCs/>
                <w:i w:val="0"/>
                <w:sz w:val="16"/>
                <w:szCs w:val="16"/>
              </w:rPr>
              <w:t>-</w:t>
            </w:r>
            <w:r>
              <w:rPr>
                <w:rFonts w:ascii="宋体" w:hint="eastAsia"/>
                <w:b/>
                <w:bCs/>
                <w:i w:val="0"/>
                <w:sz w:val="16"/>
                <w:szCs w:val="16"/>
                <w:lang w:val="en-US" w:eastAsia="zh-CN"/>
              </w:rPr>
              <w:t>6.02</w:t>
            </w:r>
            <w:r>
              <w:rPr>
                <w:rFonts w:ascii="宋体" w:hint="eastAsia"/>
                <w:b/>
                <w:bCs/>
                <w:i w:val="0"/>
                <w:sz w:val="16"/>
                <w:szCs w:val="16"/>
              </w:rPr>
              <w:t>%</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bCs/>
                <w:i w:val="0"/>
                <w:sz w:val="16"/>
                <w:szCs w:val="16"/>
              </w:rPr>
            </w:pPr>
            <w:r>
              <w:rPr>
                <w:rFonts w:ascii="宋体" w:hint="eastAsia"/>
                <w:b/>
                <w:bCs/>
                <w:i w:val="0"/>
                <w:sz w:val="16"/>
                <w:szCs w:val="16"/>
              </w:rPr>
              <w:t>-</w:t>
            </w:r>
            <w:r>
              <w:rPr>
                <w:rFonts w:ascii="宋体" w:hint="eastAsia"/>
                <w:b/>
                <w:bCs/>
                <w:i w:val="0"/>
                <w:sz w:val="16"/>
                <w:szCs w:val="16"/>
                <w:lang w:val="en-US" w:eastAsia="zh-CN"/>
              </w:rPr>
              <w:t>36.57</w:t>
            </w:r>
            <w:r>
              <w:rPr>
                <w:rFonts w:ascii="宋体" w:hint="eastAsia"/>
                <w:b/>
                <w:bCs/>
                <w:i w:val="0"/>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hint="eastAsia"/>
                <w:b/>
                <w:bCs/>
                <w:i w:val="0"/>
                <w:sz w:val="16"/>
                <w:szCs w:val="16"/>
              </w:rPr>
            </w:pPr>
            <w:r>
              <w:rPr>
                <w:rFonts w:ascii="宋体" w:hint="eastAsia"/>
                <w:b/>
                <w:bCs/>
                <w:i w:val="0"/>
                <w:sz w:val="16"/>
                <w:szCs w:val="16"/>
              </w:rPr>
              <w:t>-</w:t>
            </w:r>
            <w:r>
              <w:rPr>
                <w:rFonts w:ascii="宋体" w:hint="eastAsia"/>
                <w:b/>
                <w:bCs/>
                <w:i w:val="0"/>
                <w:sz w:val="16"/>
                <w:szCs w:val="16"/>
                <w:lang w:val="en-US" w:eastAsia="zh-CN"/>
              </w:rPr>
              <w:t>6.02</w:t>
            </w:r>
            <w:r>
              <w:rPr>
                <w:rFonts w:ascii="宋体" w:hint="eastAsia"/>
                <w:b/>
                <w:bCs/>
                <w:i w:val="0"/>
                <w:sz w:val="16"/>
                <w:szCs w:val="16"/>
              </w:rPr>
              <w:t>%</w:t>
            </w:r>
          </w:p>
        </w:tc>
      </w:tr>
    </w:tbl>
    <w:p>
      <w:pP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916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20"/>
        <w:gridCol w:w="1493"/>
        <w:gridCol w:w="1587"/>
        <w:gridCol w:w="1520"/>
        <w:gridCol w:w="1520"/>
        <w:gridCol w:w="1520"/>
      </w:tblGrid>
      <w:tr>
        <w:trPr>
          <w:trHeight w:val="315"/>
        </w:trPr>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4"/>
                <w:szCs w:val="24"/>
              </w:rPr>
            </w:pPr>
            <w:bookmarkStart w:id="1" w:name="RANGE!A1:E71"/>
            <w:bookmarkEnd w:id="1"/>
          </w:p>
        </w:tc>
        <w:tc>
          <w:tcPr>
            <w:tcW w:w="3080" w:type="dxa"/>
            <w:gridSpan w:val="2"/>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w:t>
            </w:r>
            <w:r>
              <w:rPr>
                <w:rFonts w:ascii="Times New Roman" w:eastAsia="黑体" w:cs="Times New Roman" w:hAnsi="Times New Roman"/>
                <w:color w:val="000000"/>
                <w:kern w:val="0"/>
                <w:sz w:val="20"/>
                <w:szCs w:val="20"/>
              </w:rPr>
              <w:t>6</w:t>
            </w:r>
          </w:p>
        </w:tc>
      </w:tr>
      <w:tr>
        <w:trPr>
          <w:trHeight w:val="450"/>
        </w:trPr>
        <w:tc>
          <w:tcPr>
            <w:tcW w:w="9160" w:type="dxa"/>
            <w:gridSpan w:val="6"/>
            <w:tcBorders>
              <w:top w:val="nil"/>
              <w:left w:val="nil"/>
              <w:bottom w:val="nil"/>
              <w:right w:val="nil"/>
            </w:tcBorders>
            <w:shd w:val="clear" w:color="auto" w:fill="auto"/>
            <w:noWrap/>
            <w:vAlign w:val="center"/>
          </w:tcPr>
          <w:p>
            <w:pPr>
              <w:widowControl/>
              <w:jc w:val="center"/>
              <w:rPr>
                <w:rFonts w:ascii="宋体" w:cs="宋体"/>
                <w:color w:val="000000"/>
                <w:kern w:val="0"/>
                <w:sz w:val="36"/>
                <w:szCs w:val="36"/>
              </w:rPr>
            </w:pPr>
            <w:r>
              <w:rPr>
                <w:rFonts w:ascii="宋体" w:cs="宋体" w:hint="eastAsia"/>
                <w:color w:val="000000"/>
                <w:kern w:val="0"/>
                <w:sz w:val="36"/>
                <w:szCs w:val="36"/>
              </w:rPr>
              <w:t>一般公共预算基本支出表</w:t>
            </w:r>
          </w:p>
        </w:tc>
      </w:tr>
      <w:tr>
        <w:trPr>
          <w:trHeight w:val="284"/>
        </w:trPr>
        <w:tc>
          <w:tcPr>
            <w:tcW w:w="3013" w:type="dxa"/>
            <w:gridSpan w:val="2"/>
            <w:tcBorders>
              <w:top w:val="nil"/>
              <w:left w:val="nil"/>
              <w:bottom w:val="nil"/>
              <w:right w:val="nil"/>
            </w:tcBorders>
            <w:shd w:val="clear" w:color="auto" w:fill="auto"/>
            <w:noWrap/>
            <w:vAlign w:val="center"/>
          </w:tcPr>
          <w:p>
            <w:pPr>
              <w:widowControl/>
              <w:jc w:val="left"/>
              <w:rPr>
                <w:rFonts w:ascii="宋体" w:cs="宋体" w:hint="eastAsia"/>
                <w:color w:val="000000"/>
                <w:kern w:val="0"/>
                <w:sz w:val="18"/>
                <w:szCs w:val="18"/>
              </w:rPr>
            </w:pPr>
            <w:r>
              <w:rPr>
                <w:rFonts w:ascii="宋体" w:cs="宋体" w:hint="eastAsia"/>
                <w:color w:val="000000"/>
                <w:kern w:val="0"/>
                <w:sz w:val="18"/>
                <w:szCs w:val="18"/>
              </w:rPr>
              <w:t>单位：中华人民共和国济南</w:t>
            </w:r>
            <w:r>
              <w:rPr>
                <w:rFonts w:ascii="宋体" w:cs="宋体" w:hint="eastAsia"/>
                <w:color w:val="000000"/>
                <w:kern w:val="0"/>
                <w:sz w:val="18"/>
                <w:szCs w:val="18"/>
                <w:lang w:eastAsia="zh-CN"/>
              </w:rPr>
              <w:t>邮局</w:t>
            </w:r>
            <w:r>
              <w:rPr>
                <w:rFonts w:ascii="宋体" w:cs="宋体" w:hint="eastAsia"/>
                <w:color w:val="000000"/>
                <w:kern w:val="0"/>
                <w:sz w:val="18"/>
                <w:szCs w:val="18"/>
              </w:rPr>
              <w:t>海关</w:t>
            </w:r>
          </w:p>
        </w:tc>
        <w:tc>
          <w:tcPr>
            <w:tcW w:w="1587" w:type="dxa"/>
            <w:tcBorders>
              <w:top w:val="nil"/>
              <w:left w:val="nil"/>
              <w:bottom w:val="nil"/>
              <w:right w:val="nil"/>
            </w:tcBorders>
            <w:shd w:val="clear" w:color="auto" w:fill="auto"/>
            <w:noWrap/>
            <w:vAlign w:val="center"/>
          </w:tcPr>
          <w:p>
            <w:pPr>
              <w:pStyle w:val="93"/>
              <w:widowControl/>
              <w:jc w:val="left"/>
              <w:rPr>
                <w:rFonts w:ascii="宋体" w:cs="宋体"/>
                <w:color w:val="000000"/>
                <w:kern w:val="0"/>
                <w:sz w:val="18"/>
                <w:szCs w:val="18"/>
              </w:rPr>
            </w:pPr>
            <w:r>
              <w:rPr>
                <w:rFonts w:ascii="宋体" w:cs="宋体" w:hint="eastAsia"/>
                <w:color w:val="000000"/>
                <w:kern w:val="0"/>
                <w:sz w:val="18"/>
                <w:szCs w:val="18"/>
              </w:rPr>
              <w:t>　</w:t>
            </w: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8"/>
                <w:szCs w:val="18"/>
              </w:rPr>
            </w:pPr>
            <w:r>
              <w:rPr>
                <w:rFonts w:ascii="Times New Roman" w:cs="Times New Roman" w:hAnsi="Times New Roman"/>
                <w:b/>
                <w:bCs/>
                <w:color w:val="000000"/>
                <w:kern w:val="0"/>
                <w:sz w:val="18"/>
                <w:szCs w:val="18"/>
              </w:rPr>
              <w:t>　</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b/>
                <w:bCs/>
                <w:color w:val="000000"/>
                <w:kern w:val="0"/>
                <w:sz w:val="18"/>
                <w:szCs w:val="18"/>
              </w:rPr>
            </w:pPr>
            <w:r>
              <w:rPr>
                <w:rFonts w:ascii="宋体" w:cs="宋体" w:hint="eastAsia"/>
                <w:b/>
                <w:bCs/>
                <w:color w:val="000000"/>
                <w:kern w:val="0"/>
                <w:sz w:val="18"/>
                <w:szCs w:val="18"/>
              </w:rPr>
              <w:t>济南海关</w:t>
            </w:r>
          </w:p>
        </w:tc>
        <w:tc>
          <w:tcPr>
            <w:tcW w:w="1520" w:type="dxa"/>
            <w:tcBorders>
              <w:top w:val="nil"/>
              <w:left w:val="nil"/>
              <w:bottom w:val="single" w:sz="8" w:space="0" w:color="auto"/>
              <w:right w:val="single" w:sz="8" w:space="0" w:color="auto"/>
            </w:tcBorders>
            <w:shd w:val="clear" w:color="auto" w:fill="auto"/>
            <w:noWrap/>
            <w:vAlign w:val="center"/>
          </w:tcPr>
          <w:p>
            <w:pPr>
              <w:pStyle w:val="88"/>
              <w:jc w:val="right"/>
              <w:rPr>
                <w:rFonts w:ascii="宋体" w:eastAsia="宋体"/>
                <w:b/>
                <w:i w:val="0"/>
                <w:sz w:val="18"/>
                <w:szCs w:val="18"/>
                <w:lang w:val="en-US" w:eastAsia="zh-CN"/>
              </w:rPr>
            </w:pPr>
            <w:r>
              <w:rPr>
                <w:rFonts w:ascii="宋体" w:hint="eastAsia"/>
                <w:b/>
                <w:i w:val="0"/>
                <w:sz w:val="18"/>
                <w:szCs w:val="18"/>
                <w:lang w:val="en-US" w:eastAsia="zh-CN"/>
              </w:rPr>
              <w:t>557.04</w:t>
            </w:r>
          </w:p>
        </w:tc>
        <w:tc>
          <w:tcPr>
            <w:tcW w:w="1520" w:type="dxa"/>
            <w:tcBorders>
              <w:top w:val="nil"/>
              <w:left w:val="nil"/>
              <w:bottom w:val="single" w:sz="8" w:space="0" w:color="auto"/>
              <w:right w:val="single" w:sz="8" w:space="0" w:color="auto"/>
            </w:tcBorders>
            <w:shd w:val="clear" w:color="auto" w:fill="auto"/>
            <w:noWrap/>
            <w:vAlign w:val="center"/>
          </w:tcPr>
          <w:p>
            <w:pPr>
              <w:pStyle w:val="89"/>
              <w:jc w:val="right"/>
              <w:rPr>
                <w:rFonts w:ascii="宋体" w:eastAsia="宋体"/>
                <w:b/>
                <w:i w:val="0"/>
                <w:sz w:val="18"/>
                <w:szCs w:val="18"/>
                <w:lang w:val="en-US" w:eastAsia="zh-CN"/>
              </w:rPr>
            </w:pPr>
            <w:r>
              <w:rPr>
                <w:rFonts w:ascii="宋体" w:hint="eastAsia"/>
                <w:b/>
                <w:i w:val="0"/>
                <w:sz w:val="18"/>
                <w:szCs w:val="18"/>
                <w:lang w:val="en-US" w:eastAsia="zh-CN"/>
              </w:rPr>
              <w:t>437.51</w:t>
            </w:r>
          </w:p>
        </w:tc>
        <w:tc>
          <w:tcPr>
            <w:tcW w:w="1520" w:type="dxa"/>
            <w:tcBorders>
              <w:top w:val="nil"/>
              <w:left w:val="nil"/>
              <w:bottom w:val="single" w:sz="8" w:space="0" w:color="auto"/>
              <w:right w:val="single" w:sz="8" w:space="0" w:color="auto"/>
            </w:tcBorders>
            <w:shd w:val="clear" w:color="auto" w:fill="auto"/>
            <w:noWrap/>
            <w:vAlign w:val="center"/>
          </w:tcPr>
          <w:p>
            <w:pPr>
              <w:pStyle w:val="90"/>
              <w:jc w:val="right"/>
              <w:rPr>
                <w:rFonts w:ascii="宋体" w:eastAsia="宋体"/>
                <w:b/>
                <w:i w:val="0"/>
                <w:sz w:val="18"/>
                <w:szCs w:val="18"/>
                <w:lang w:val="en-US" w:eastAsia="zh-CN"/>
              </w:rPr>
            </w:pPr>
            <w:r>
              <w:rPr>
                <w:rFonts w:ascii="宋体" w:hint="eastAsia"/>
                <w:b/>
                <w:i w:val="0"/>
                <w:sz w:val="18"/>
                <w:szCs w:val="18"/>
                <w:lang w:val="en-US" w:eastAsia="zh-CN"/>
              </w:rPr>
              <w:t>119.53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lang w:val="en-US" w:eastAsia="zh-CN"/>
              </w:rPr>
            </w:pPr>
            <w:r>
              <w:rPr>
                <w:rFonts w:ascii="宋体" w:hint="eastAsia"/>
                <w:b/>
                <w:i w:val="0"/>
                <w:color w:val="000000"/>
                <w:sz w:val="18"/>
                <w:szCs w:val="18"/>
                <w:lang w:val="en-US" w:eastAsia="zh-CN"/>
              </w:rPr>
              <w:t>557.04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lang w:val="en-US"/>
              </w:rPr>
            </w:pPr>
            <w:r>
              <w:rPr>
                <w:rFonts w:ascii="宋体" w:hint="eastAsia"/>
                <w:b/>
                <w:i w:val="0"/>
                <w:color w:val="000000"/>
                <w:sz w:val="18"/>
                <w:szCs w:val="18"/>
                <w:lang w:val="en-US" w:eastAsia="zh-CN"/>
              </w:rPr>
              <w:t>437.51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基本工资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108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108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津贴补贴</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191.66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191.66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奖金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8.5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8.5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机关事业单位基本养老保险缴费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37.25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37.25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职业年金缴费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18.63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18.63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职工基本医疗保险缴费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16.92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16.92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公务员医疗补助缴费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6.77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6.77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住房公积金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49.08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49.08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lang w:val="en-US" w:eastAsia="zh-CN"/>
              </w:rPr>
            </w:pPr>
            <w:r>
              <w:rPr>
                <w:rFonts w:ascii="宋体" w:hint="eastAsia"/>
                <w:b/>
                <w:i w:val="0"/>
                <w:color w:val="000000"/>
                <w:sz w:val="18"/>
                <w:szCs w:val="18"/>
                <w:lang w:val="en-US" w:eastAsia="zh-CN"/>
              </w:rPr>
              <w:t>119.53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hint="eastAsia"/>
                <w:b/>
                <w:i w:val="0"/>
                <w:color w:val="000000"/>
                <w:sz w:val="18"/>
                <w:szCs w:val="18"/>
                <w:lang w:val="en-US" w:eastAsia="zh-CN"/>
              </w:rPr>
              <w:t>119.53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办公费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26.01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26.01</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印刷费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邮电费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13.33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13.33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差旅费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维修（护）费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7</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租赁费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公务接待费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0.1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0.1</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劳务费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13.14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13.14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委托业务费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工会经费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福利费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hint="eastAsia"/>
                <w:b w:val="0"/>
                <w:i w:val="0"/>
                <w:color w:val="000000"/>
                <w:sz w:val="18"/>
                <w:szCs w:val="18"/>
                <w:lang w:eastAsia="zh-CN"/>
              </w:rPr>
            </w:pPr>
            <w:r>
              <w:rPr>
                <w:rFonts w:ascii="宋体" w:hint="eastAsia"/>
                <w:b w:val="0"/>
                <w:i w:val="0"/>
                <w:color w:val="000000"/>
                <w:sz w:val="18"/>
                <w:szCs w:val="18"/>
                <w:lang w:val="en-US" w:eastAsia="zh-CN"/>
              </w:rPr>
              <w:t>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30239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其他交通费用</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21.14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21.14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9.31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hint="eastAsia"/>
                <w:b w:val="0"/>
                <w:i w:val="0"/>
                <w:color w:val="000000"/>
                <w:sz w:val="18"/>
                <w:szCs w:val="18"/>
                <w:lang w:val="en-US" w:eastAsia="zh-CN"/>
              </w:rPr>
              <w:t>9.31</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lang w:val="en-US" w:eastAsia="zh-CN"/>
              </w:rPr>
            </w:pPr>
            <w:r>
              <w:rPr>
                <w:rFonts w:ascii="宋体" w:hint="eastAsia"/>
                <w:b/>
                <w:i w:val="0"/>
                <w:color w:val="000000"/>
                <w:sz w:val="18"/>
                <w:szCs w:val="18"/>
                <w:lang w:val="en-US" w:eastAsia="zh-CN"/>
              </w:rPr>
              <w:t>0.7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lang w:val="en-US" w:eastAsia="zh-CN"/>
              </w:rPr>
            </w:pPr>
            <w:r>
              <w:rPr>
                <w:rFonts w:ascii="宋体" w:hint="eastAsia"/>
                <w:b/>
                <w:i w:val="0"/>
                <w:color w:val="000000"/>
                <w:sz w:val="18"/>
                <w:szCs w:val="18"/>
                <w:lang w:val="en-US" w:eastAsia="zh-CN"/>
              </w:rPr>
              <w:t>0.7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30399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eastAsia="zh-CN"/>
              </w:rPr>
            </w:pPr>
            <w:r>
              <w:rPr>
                <w:rFonts w:ascii="宋体" w:hint="eastAsia"/>
                <w:b w:val="0"/>
                <w:i w:val="0"/>
                <w:color w:val="000000"/>
                <w:sz w:val="18"/>
                <w:szCs w:val="18"/>
                <w:lang w:val="en-US" w:eastAsia="zh-CN"/>
              </w:rPr>
              <w:t>0.7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rPr>
            </w:pPr>
            <w:r>
              <w:rPr>
                <w:rFonts w:ascii="宋体" w:hint="eastAsia"/>
                <w:b w:val="0"/>
                <w:i w:val="0"/>
                <w:color w:val="000000"/>
                <w:sz w:val="18"/>
                <w:szCs w:val="18"/>
                <w:lang w:val="en-US" w:eastAsia="zh-CN"/>
              </w:rPr>
              <w:t>0.7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lang w:val="en-US"/>
              </w:rPr>
            </w:pPr>
          </w:p>
        </w:tc>
      </w:tr>
      <w:tr>
        <w:trPr>
          <w:trHeight w:val="285"/>
        </w:trPr>
        <w:tc>
          <w:tcPr>
            <w:tcW w:w="4600" w:type="dxa"/>
            <w:gridSpan w:val="3"/>
            <w:tcBorders>
              <w:top w:val="nil"/>
              <w:left w:val="single" w:sz="8" w:space="0" w:color="auto"/>
              <w:bottom w:val="single" w:sz="8" w:space="0" w:color="auto"/>
              <w:right w:val="single" w:sz="8" w:space="0" w:color="auto"/>
            </w:tcBorders>
            <w:shd w:val="clear" w:color="auto" w:fill="auto"/>
            <w:noWrap/>
            <w:vAlign w:val="center"/>
          </w:tcPr>
          <w:p>
            <w:pPr>
              <w:pStyle w:val="87"/>
              <w:jc w:val="center"/>
              <w:rPr>
                <w:rFonts w:ascii="宋体"/>
                <w:b/>
                <w:i w:val="0"/>
                <w:strike w:val="0"/>
                <w:dstrike w:val="0"/>
                <w:color w:val="auto"/>
                <w:sz w:val="18"/>
                <w:szCs w:val="18"/>
              </w:rPr>
            </w:pPr>
            <w:r>
              <w:rPr>
                <w:rFonts w:ascii="宋体"/>
                <w:b/>
                <w:i w:val="0"/>
                <w:strike w:val="0"/>
                <w:dstrike w:val="0"/>
                <w:color w:val="auto"/>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lang w:val="en-US" w:eastAsia="zh-CN"/>
              </w:rPr>
            </w:pPr>
            <w:r>
              <w:rPr>
                <w:rFonts w:ascii="宋体" w:hint="eastAsia"/>
                <w:b/>
                <w:i w:val="0"/>
                <w:sz w:val="18"/>
                <w:szCs w:val="18"/>
                <w:lang w:val="en-US" w:eastAsia="zh-CN"/>
              </w:rPr>
              <w:t>557.04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lang w:val="en-US" w:eastAsia="zh-CN"/>
              </w:rPr>
            </w:pPr>
            <w:r>
              <w:rPr>
                <w:rFonts w:ascii="宋体" w:hint="eastAsia"/>
                <w:b/>
                <w:i w:val="0"/>
                <w:sz w:val="18"/>
                <w:szCs w:val="18"/>
                <w:lang w:val="en-US" w:eastAsia="zh-CN"/>
              </w:rPr>
              <w:t>437.51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lang w:val="en-US" w:eastAsia="zh-CN"/>
              </w:rPr>
            </w:pPr>
            <w:r>
              <w:rPr>
                <w:rFonts w:ascii="宋体" w:hint="eastAsia"/>
                <w:b/>
                <w:i w:val="0"/>
                <w:sz w:val="18"/>
                <w:szCs w:val="18"/>
                <w:lang w:val="en-US" w:eastAsia="zh-CN"/>
              </w:rPr>
              <w:t>119.53</w:t>
            </w:r>
          </w:p>
        </w:tc>
      </w:tr>
    </w:tbl>
    <w:p>
      <w:pPr>
        <w:widowControl/>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sz w:val="32"/>
          <w:szCs w:val="32"/>
        </w:rPr>
        <w:br w:type="page"/>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2023年政府性基金预算支出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济南</w:t>
      </w:r>
      <w:r>
        <w:rPr>
          <w:rFonts w:ascii="Times New Roman" w:eastAsia="方正仿宋_GBK" w:cs="Times New Roman" w:hAnsi="Times New Roman" w:hint="eastAsia"/>
          <w:sz w:val="24"/>
          <w:szCs w:val="24"/>
          <w:lang w:eastAsia="zh-CN"/>
        </w:rPr>
        <w:t>邮局</w:t>
      </w:r>
      <w:r>
        <w:rPr>
          <w:rFonts w:ascii="Times New Roman" w:eastAsia="方正仿宋_GBK" w:cs="Times New Roman" w:hAnsi="Times New Roman" w:hint="eastAsia"/>
          <w:sz w:val="24"/>
          <w:szCs w:val="24"/>
        </w:rPr>
        <w:t>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2023年国有资本经营预算支出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济南</w:t>
      </w:r>
      <w:r>
        <w:rPr>
          <w:rFonts w:ascii="Times New Roman" w:eastAsia="方正仿宋_GBK" w:cs="Times New Roman" w:hAnsi="Times New Roman" w:hint="eastAsia"/>
          <w:sz w:val="24"/>
          <w:szCs w:val="24"/>
          <w:lang w:eastAsia="zh-CN"/>
        </w:rPr>
        <w:t>邮局</w:t>
      </w:r>
      <w:r>
        <w:rPr>
          <w:rFonts w:ascii="Times New Roman" w:eastAsia="方正仿宋_GBK" w:cs="Times New Roman" w:hAnsi="Times New Roman" w:hint="eastAsia"/>
          <w:sz w:val="24"/>
          <w:szCs w:val="24"/>
        </w:rPr>
        <w:t>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3</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4</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pStyle w:val="95"/>
              <w:widowControl/>
              <w:jc w:val="center"/>
              <w:rPr>
                <w:rFonts w:ascii="Times New Roman" w:eastAsia="宋体" w:cs="Times New Roman" w:hAnsi="Times New Roman"/>
                <w:kern w:val="0"/>
                <w:sz w:val="20"/>
                <w:szCs w:val="20"/>
                <w:lang w:val="en-US" w:eastAsia="zh-CN"/>
              </w:rPr>
            </w:pPr>
            <w:r>
              <w:rPr>
                <w:rFonts w:ascii="Times New Roman" w:cs="Times New Roman" w:hAnsi="Times New Roman" w:hint="eastAsia"/>
                <w:kern w:val="0"/>
                <w:sz w:val="20"/>
                <w:szCs w:val="20"/>
                <w:lang w:val="en-US" w:eastAsia="zh-CN"/>
              </w:rPr>
              <w:t>4.86</w:t>
            </w:r>
          </w:p>
        </w:tc>
        <w:tc>
          <w:tcPr>
            <w:tcW w:w="1108" w:type="dxa"/>
            <w:tcBorders>
              <w:top w:val="nil"/>
              <w:left w:val="nil"/>
              <w:bottom w:val="single" w:sz="4" w:space="0" w:color="auto"/>
              <w:right w:val="single" w:sz="4" w:space="0" w:color="auto"/>
            </w:tcBorders>
            <w:shd w:val="clear" w:color="auto" w:fill="auto"/>
            <w:noWrap/>
            <w:vAlign w:val="center"/>
          </w:tcPr>
          <w:p>
            <w:pPr>
              <w:pStyle w:val="96"/>
              <w:widowControl/>
              <w:jc w:val="center"/>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pStyle w:val="97"/>
              <w:widowControl/>
              <w:jc w:val="center"/>
              <w:rPr>
                <w:rFonts w:ascii="Times New Roman" w:eastAsia="宋体" w:cs="Times New Roman" w:hAnsi="Times New Roman"/>
                <w:kern w:val="0"/>
                <w:sz w:val="20"/>
                <w:szCs w:val="20"/>
                <w:lang w:val="en-US" w:eastAsia="zh-CN"/>
              </w:rPr>
            </w:pPr>
            <w:r>
              <w:rPr>
                <w:rFonts w:ascii="Times New Roman" w:cs="Times New Roman" w:hAnsi="Times New Roman" w:hint="eastAsia"/>
                <w:kern w:val="0"/>
                <w:sz w:val="20"/>
                <w:szCs w:val="20"/>
                <w:lang w:val="en-US" w:eastAsia="zh-CN"/>
              </w:rPr>
              <w:t>4.86</w:t>
            </w:r>
          </w:p>
        </w:tc>
        <w:tc>
          <w:tcPr>
            <w:tcW w:w="1134" w:type="dxa"/>
            <w:tcBorders>
              <w:top w:val="nil"/>
              <w:left w:val="nil"/>
              <w:bottom w:val="single" w:sz="4" w:space="0" w:color="auto"/>
              <w:right w:val="single" w:sz="4" w:space="0" w:color="auto"/>
            </w:tcBorders>
            <w:shd w:val="clear" w:color="auto" w:fill="auto"/>
            <w:noWrap/>
            <w:vAlign w:val="center"/>
          </w:tcPr>
          <w:p>
            <w:pPr>
              <w:pStyle w:val="98"/>
              <w:widowControl/>
              <w:jc w:val="center"/>
              <w:rPr>
                <w:rFonts w:ascii="Times New Roman" w:cs="Times New Roman" w:hAnsi="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pStyle w:val="99"/>
              <w:widowControl/>
              <w:jc w:val="center"/>
              <w:rPr>
                <w:rFonts w:ascii="Times New Roman" w:eastAsia="宋体" w:cs="Times New Roman" w:hAnsi="Times New Roman"/>
                <w:kern w:val="0"/>
                <w:sz w:val="20"/>
                <w:szCs w:val="20"/>
                <w:lang w:val="en-US" w:eastAsia="zh-CN"/>
              </w:rPr>
            </w:pPr>
            <w:r>
              <w:rPr>
                <w:rFonts w:ascii="Times New Roman" w:cs="Times New Roman" w:hAnsi="Times New Roman" w:hint="eastAsia"/>
                <w:kern w:val="0"/>
                <w:sz w:val="20"/>
                <w:szCs w:val="20"/>
                <w:lang w:val="en-US" w:eastAsia="zh-CN"/>
              </w:rPr>
              <w:t>4.76</w:t>
            </w:r>
          </w:p>
        </w:tc>
        <w:tc>
          <w:tcPr>
            <w:tcW w:w="1407"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eastAsia="宋体" w:cs="Times New Roman" w:hAnsi="Times New Roman"/>
                <w:kern w:val="0"/>
                <w:sz w:val="20"/>
                <w:szCs w:val="20"/>
                <w:lang w:val="en-US" w:eastAsia="zh-CN"/>
              </w:rPr>
            </w:pPr>
            <w:r>
              <w:rPr>
                <w:rFonts w:ascii="Times New Roman" w:cs="Times New Roman" w:hAnsi="Times New Roman" w:hint="eastAsia"/>
                <w:kern w:val="0"/>
                <w:sz w:val="20"/>
                <w:szCs w:val="20"/>
                <w:lang w:val="en-US" w:eastAsia="zh-CN"/>
              </w:rPr>
              <w:t>0.1</w:t>
            </w:r>
          </w:p>
        </w:tc>
        <w:tc>
          <w:tcPr>
            <w:tcW w:w="966" w:type="dxa"/>
            <w:tcBorders>
              <w:top w:val="nil"/>
              <w:left w:val="nil"/>
              <w:bottom w:val="single" w:sz="4" w:space="0" w:color="auto"/>
              <w:right w:val="single" w:sz="4" w:space="0" w:color="auto"/>
            </w:tcBorders>
            <w:shd w:val="clear" w:color="auto" w:fill="auto"/>
            <w:noWrap/>
            <w:vAlign w:val="center"/>
          </w:tcPr>
          <w:p>
            <w:pPr>
              <w:pStyle w:val="95"/>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lang w:val="en-US" w:eastAsia="zh-CN"/>
              </w:rPr>
              <w:t>5.7</w:t>
            </w:r>
          </w:p>
        </w:tc>
        <w:tc>
          <w:tcPr>
            <w:tcW w:w="1272" w:type="dxa"/>
            <w:tcBorders>
              <w:top w:val="nil"/>
              <w:left w:val="nil"/>
              <w:bottom w:val="single" w:sz="4" w:space="0" w:color="auto"/>
              <w:right w:val="single" w:sz="4" w:space="0" w:color="auto"/>
            </w:tcBorders>
            <w:shd w:val="clear" w:color="auto" w:fill="auto"/>
            <w:noWrap/>
            <w:vAlign w:val="center"/>
          </w:tcPr>
          <w:p>
            <w:pPr>
              <w:pStyle w:val="96"/>
              <w:widowControl/>
              <w:jc w:val="center"/>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pStyle w:val="97"/>
              <w:widowControl/>
              <w:jc w:val="center"/>
              <w:rPr>
                <w:rFonts w:ascii="Times New Roman" w:cs="Times New Roman" w:hAnsi="Times New Roman" w:hint="eastAsia"/>
                <w:kern w:val="0"/>
                <w:sz w:val="20"/>
                <w:szCs w:val="20"/>
              </w:rPr>
            </w:pPr>
            <w:r>
              <w:rPr>
                <w:rFonts w:ascii="Times New Roman" w:cs="Times New Roman" w:hAnsi="Times New Roman" w:hint="eastAsia"/>
                <w:kern w:val="0"/>
                <w:sz w:val="20"/>
                <w:szCs w:val="20"/>
                <w:lang w:val="en-US" w:eastAsia="zh-CN"/>
              </w:rPr>
              <w:t>5.7</w:t>
            </w:r>
          </w:p>
        </w:tc>
        <w:tc>
          <w:tcPr>
            <w:tcW w:w="1134" w:type="dxa"/>
            <w:tcBorders>
              <w:top w:val="nil"/>
              <w:left w:val="nil"/>
              <w:bottom w:val="single" w:sz="4" w:space="0" w:color="auto"/>
              <w:right w:val="single" w:sz="4" w:space="0" w:color="auto"/>
            </w:tcBorders>
            <w:shd w:val="clear" w:color="auto" w:fill="auto"/>
            <w:noWrap/>
            <w:vAlign w:val="center"/>
          </w:tcPr>
          <w:p>
            <w:pPr>
              <w:pStyle w:val="98"/>
              <w:widowControl/>
              <w:jc w:val="center"/>
              <w:rPr>
                <w:rFonts w:ascii="Times New Roman" w:cs="Times New Roman" w:hAnsi="Times New Roman" w:hint="eastAsia"/>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pStyle w:val="99"/>
              <w:widowControl/>
              <w:jc w:val="center"/>
              <w:rPr>
                <w:rFonts w:ascii="Times New Roman" w:cs="Times New Roman" w:hAnsi="Times New Roman" w:hint="eastAsia"/>
                <w:kern w:val="0"/>
                <w:sz w:val="20"/>
                <w:szCs w:val="20"/>
              </w:rPr>
            </w:pPr>
            <w:r>
              <w:rPr>
                <w:rFonts w:ascii="Times New Roman" w:cs="Times New Roman" w:hAnsi="Times New Roman" w:hint="eastAsia"/>
                <w:kern w:val="0"/>
                <w:sz w:val="20"/>
                <w:szCs w:val="20"/>
                <w:lang w:val="en-US" w:eastAsia="zh-CN"/>
              </w:rPr>
              <w:t>5.6</w:t>
            </w:r>
          </w:p>
        </w:tc>
        <w:tc>
          <w:tcPr>
            <w:tcW w:w="1445"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lang w:val="en-US" w:eastAsia="zh-CN"/>
              </w:rPr>
              <w:t>0.1</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济南</w:t>
      </w:r>
      <w:r>
        <w:rPr>
          <w:rFonts w:ascii="Times New Roman" w:hAnsi="Times New Roman" w:hint="eastAsia"/>
          <w:b/>
          <w:sz w:val="80"/>
          <w:szCs w:val="80"/>
          <w:lang w:eastAsia="zh-CN"/>
        </w:rPr>
        <w:t>邮局</w:t>
      </w:r>
      <w:r>
        <w:rPr>
          <w:rFonts w:ascii="Times New Roman" w:hAnsi="Times New Roman" w:hint="eastAsia"/>
          <w:b/>
          <w:sz w:val="80"/>
          <w:szCs w:val="80"/>
        </w:rPr>
        <w:t>海关</w:t>
      </w:r>
      <w:r>
        <w:rPr>
          <w:rFonts w:ascii="Times New Roman" w:hAnsi="Times New Roman"/>
          <w:b/>
          <w:sz w:val="80"/>
          <w:szCs w:val="80"/>
        </w:rPr>
        <w:t>2024</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20"/>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20"/>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济南</w:t>
      </w:r>
      <w:r>
        <w:rPr>
          <w:rFonts w:eastAsia="方正黑体_GBK" w:hint="eastAsia"/>
          <w:sz w:val="32"/>
          <w:szCs w:val="32"/>
          <w:lang w:eastAsia="zh-CN"/>
        </w:rPr>
        <w:t>邮局</w:t>
      </w:r>
      <w:r>
        <w:rPr>
          <w:rFonts w:eastAsia="方正黑体_GBK"/>
          <w:sz w:val="32"/>
          <w:szCs w:val="32"/>
        </w:rPr>
        <w:t>海关2024年收支预算情况的总体说明</w:t>
      </w:r>
    </w:p>
    <w:p>
      <w:pPr>
        <w:pStyle w:val="2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济南</w:t>
      </w:r>
      <w:r>
        <w:rPr>
          <w:rFonts w:eastAsia="方正仿宋_GBK" w:hint="eastAsia"/>
          <w:sz w:val="32"/>
          <w:szCs w:val="32"/>
          <w:lang w:eastAsia="zh-CN"/>
        </w:rPr>
        <w:t>邮局</w:t>
      </w:r>
      <w:r>
        <w:rPr>
          <w:rFonts w:eastAsia="方正仿宋_GBK"/>
          <w:sz w:val="32"/>
          <w:szCs w:val="32"/>
        </w:rPr>
        <w:t>海关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Fonts w:eastAsia="方正仿宋_GBK" w:hint="eastAsia"/>
          <w:sz w:val="32"/>
          <w:szCs w:val="32"/>
        </w:rPr>
        <w:t>济南</w:t>
      </w:r>
      <w:r>
        <w:rPr>
          <w:rFonts w:eastAsia="方正仿宋_GBK" w:hint="eastAsia"/>
          <w:sz w:val="32"/>
          <w:szCs w:val="32"/>
          <w:lang w:eastAsia="zh-CN"/>
        </w:rPr>
        <w:t>邮局</w:t>
      </w:r>
      <w:r>
        <w:rPr>
          <w:rFonts w:eastAsia="方正仿宋_GBK"/>
          <w:sz w:val="32"/>
          <w:szCs w:val="32"/>
        </w:rPr>
        <w:t>海关2024年收支总预算</w:t>
      </w:r>
      <w:r>
        <w:rPr>
          <w:rFonts w:eastAsia="方正仿宋_GBK" w:hint="eastAsia"/>
          <w:sz w:val="32"/>
          <w:szCs w:val="32"/>
          <w:lang w:val="en-US" w:eastAsia="zh-CN"/>
        </w:rPr>
        <w:t>1012.06</w:t>
      </w:r>
      <w:r>
        <w:rPr>
          <w:rFonts w:eastAsia="方正仿宋_GBK"/>
          <w:sz w:val="32"/>
          <w:szCs w:val="32"/>
        </w:rPr>
        <w:t>万元。</w:t>
      </w:r>
    </w:p>
    <w:p>
      <w:pPr>
        <w:pStyle w:val="2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济南</w:t>
      </w:r>
      <w:r>
        <w:rPr>
          <w:rFonts w:eastAsia="方正黑体_GBK" w:hint="eastAsia"/>
          <w:sz w:val="32"/>
          <w:szCs w:val="32"/>
          <w:lang w:eastAsia="zh-CN"/>
        </w:rPr>
        <w:t>邮局</w:t>
      </w:r>
      <w:r>
        <w:rPr>
          <w:rFonts w:eastAsia="方正黑体_GBK"/>
          <w:sz w:val="32"/>
          <w:szCs w:val="32"/>
        </w:rPr>
        <w:t>海关2024年收入预算情况说明</w:t>
      </w:r>
    </w:p>
    <w:p>
      <w:pPr>
        <w:pStyle w:val="20"/>
        <w:spacing w:line="240" w:lineRule="auto"/>
        <w:ind w:firstLineChars="200" w:firstLine="640"/>
        <w:rPr>
          <w:rFonts w:eastAsia="方正仿宋_GBK" w:hint="eastAsia"/>
          <w:sz w:val="32"/>
          <w:szCs w:val="32"/>
          <w:lang w:eastAsia="zh-CN"/>
        </w:rPr>
      </w:pPr>
      <w:r>
        <w:rPr>
          <w:rFonts w:eastAsia="方正仿宋_GBK" w:hint="eastAsia"/>
          <w:sz w:val="32"/>
          <w:szCs w:val="32"/>
        </w:rPr>
        <w:t>济南</w:t>
      </w:r>
      <w:r>
        <w:rPr>
          <w:rFonts w:eastAsia="方正仿宋_GBK" w:hint="eastAsia"/>
          <w:sz w:val="32"/>
          <w:szCs w:val="32"/>
          <w:lang w:eastAsia="zh-CN"/>
        </w:rPr>
        <w:t>邮局</w:t>
      </w:r>
      <w:r>
        <w:rPr>
          <w:rFonts w:eastAsia="方正仿宋_GBK"/>
          <w:sz w:val="32"/>
          <w:szCs w:val="32"/>
        </w:rPr>
        <w:t>海关2024年收入预算</w:t>
      </w:r>
      <w:r>
        <w:rPr>
          <w:rFonts w:eastAsia="方正仿宋_GBK" w:hint="eastAsia"/>
          <w:sz w:val="32"/>
          <w:szCs w:val="32"/>
          <w:lang w:val="en-US" w:eastAsia="zh-CN"/>
        </w:rPr>
        <w:t>1012.06</w:t>
      </w:r>
      <w:r>
        <w:rPr>
          <w:rFonts w:eastAsia="方正仿宋_GBK"/>
          <w:sz w:val="32"/>
          <w:szCs w:val="32"/>
        </w:rPr>
        <w:t xml:space="preserve">万元，其中：上年结转 </w:t>
      </w:r>
      <w:r>
        <w:rPr>
          <w:rFonts w:eastAsia="方正仿宋_GBK" w:hint="eastAsia"/>
          <w:sz w:val="32"/>
          <w:szCs w:val="32"/>
          <w:lang w:val="en-US" w:eastAsia="zh-CN"/>
        </w:rPr>
        <w:t>11.42</w:t>
      </w:r>
      <w:r>
        <w:rPr>
          <w:rFonts w:eastAsia="方正仿宋_GBK"/>
          <w:sz w:val="32"/>
          <w:szCs w:val="32"/>
        </w:rPr>
        <w:t xml:space="preserve"> 万元，占</w:t>
      </w:r>
      <w:r>
        <w:rPr>
          <w:rFonts w:eastAsia="方正仿宋_GBK" w:hint="eastAsia"/>
          <w:sz w:val="32"/>
          <w:szCs w:val="32"/>
          <w:lang w:val="en-US" w:eastAsia="zh-CN"/>
        </w:rPr>
        <w:t>1.13</w:t>
      </w:r>
      <w:r>
        <w:rPr>
          <w:rFonts w:eastAsia="方正仿宋_GBK"/>
          <w:sz w:val="32"/>
          <w:szCs w:val="32"/>
        </w:rPr>
        <w:t xml:space="preserve">%；一般公共预算财政拨款  </w:t>
      </w:r>
      <w:r>
        <w:rPr>
          <w:rFonts w:eastAsia="方正仿宋_GBK" w:hint="eastAsia"/>
          <w:sz w:val="32"/>
          <w:szCs w:val="32"/>
          <w:lang w:val="en-US" w:eastAsia="zh-CN"/>
        </w:rPr>
        <w:t>571.31</w:t>
      </w:r>
      <w:r>
        <w:rPr>
          <w:rFonts w:eastAsia="方正仿宋_GBK"/>
          <w:sz w:val="32"/>
          <w:szCs w:val="32"/>
        </w:rPr>
        <w:t>万元，占</w:t>
      </w:r>
      <w:r>
        <w:rPr>
          <w:rFonts w:eastAsia="方正仿宋_GBK" w:hint="eastAsia"/>
          <w:sz w:val="32"/>
          <w:szCs w:val="32"/>
          <w:lang w:val="en-US" w:eastAsia="zh-CN"/>
        </w:rPr>
        <w:t>56.45</w:t>
      </w:r>
      <w:r>
        <w:rPr>
          <w:rFonts w:eastAsia="方正仿宋_GBK"/>
          <w:sz w:val="32"/>
          <w:szCs w:val="32"/>
        </w:rPr>
        <w:t>%；其他收入</w:t>
      </w:r>
      <w:r>
        <w:rPr>
          <w:rFonts w:eastAsia="方正仿宋_GBK" w:hint="eastAsia"/>
          <w:sz w:val="32"/>
          <w:szCs w:val="32"/>
          <w:lang w:val="en-US" w:eastAsia="zh-CN"/>
        </w:rPr>
        <w:t>429.33</w:t>
      </w:r>
      <w:r>
        <w:rPr>
          <w:rFonts w:eastAsia="方正仿宋_GBK"/>
          <w:sz w:val="32"/>
          <w:szCs w:val="32"/>
        </w:rPr>
        <w:t>万元，占</w:t>
      </w:r>
      <w:r>
        <w:rPr>
          <w:rFonts w:eastAsia="方正仿宋_GBK" w:hint="eastAsia"/>
          <w:sz w:val="32"/>
          <w:szCs w:val="32"/>
          <w:lang w:val="en-US" w:eastAsia="zh-CN"/>
        </w:rPr>
        <w:t>42.42</w:t>
      </w:r>
      <w:r>
        <w:rPr>
          <w:rFonts w:eastAsia="方正仿宋_GBK"/>
          <w:sz w:val="32"/>
          <w:szCs w:val="32"/>
        </w:rPr>
        <w:t>%</w:t>
      </w:r>
      <w:r>
        <w:rPr>
          <w:rFonts w:eastAsia="方正仿宋_GBK" w:hint="eastAsia"/>
          <w:sz w:val="32"/>
          <w:szCs w:val="32"/>
          <w:lang w:eastAsia="zh-CN"/>
        </w:rPr>
        <w:t>。</w:t>
      </w:r>
      <w:r>
        <w:rPr>
          <w:rFonts w:eastAsia="方正仿宋_GBK" w:hint="eastAsia"/>
          <w:sz w:val="32"/>
          <w:szCs w:val="32"/>
          <w:lang w:eastAsia="zh-CN"/>
        </w:rPr>
        <w:drawing>
          <wp:inline distT="0" distB="0" distL="114300" distR="114300">
            <wp:extent cx="4584065" cy="2755265"/>
            <wp:effectExtent l="0" t="0" r="0" b="0"/>
            <wp:docPr id="4" name="图片 4" descr="收入预算"/>
            <wp:cNvGraphicFramePr>
              <a:graphicFrameLocks noChangeAspect="1"/>
            </wp:cNvGraphicFramePr>
            <a:graphic>
              <a:graphicData uri="http://schemas.openxmlformats.org/drawingml/2006/picture">
                <pic:pic>
                  <pic:nvPicPr>
                    <pic:cNvPr id="6" name="图片 4 6"/>
                    <pic:cNvPicPr/>
                  </pic:nvPicPr>
                  <pic:blipFill>
                    <a:blip r:embed="rId5"/>
                    <a:stretch>
                      <a:fillRect/>
                    </a:stretch>
                  </pic:blipFill>
                  <pic:spPr>
                    <a:xfrm rot="0">
                      <a:off x="0" y="0"/>
                      <a:ext cx="4584065" cy="2755265"/>
                    </a:xfrm>
                    <a:prstGeom prst="rect"/>
                    <a:noFill/>
                    <a:ln w="9525" cmpd="sng" cap="flat">
                      <a:noFill/>
                      <a:prstDash val="solid"/>
                      <a:miter/>
                    </a:ln>
                  </pic:spPr>
                </pic:pic>
              </a:graphicData>
            </a:graphic>
          </wp:inline>
        </w:drawing>
      </w:r>
    </w:p>
    <w:p>
      <w:pPr>
        <w:pStyle w:val="20"/>
        <w:spacing w:line="560" w:lineRule="exact"/>
        <w:ind w:left="0" w:firstLineChars="200" w:firstLine="640"/>
        <w:rPr>
          <w:rFonts w:eastAsia="方正仿宋_GBK"/>
          <w:sz w:val="32"/>
          <w:szCs w:val="32"/>
        </w:rPr>
      </w:pPr>
      <w:r>
        <w:rPr>
          <w:rFonts w:eastAsia="方正黑体_GBK" w:hint="eastAsia"/>
          <w:sz w:val="32"/>
          <w:szCs w:val="32"/>
        </w:rPr>
        <w:t>三、关于济南</w:t>
      </w:r>
      <w:r>
        <w:rPr>
          <w:rFonts w:eastAsia="方正黑体_GBK" w:hint="eastAsia"/>
          <w:sz w:val="32"/>
          <w:szCs w:val="32"/>
          <w:lang w:eastAsia="zh-CN"/>
        </w:rPr>
        <w:t>邮局</w:t>
      </w:r>
      <w:r>
        <w:rPr>
          <w:rFonts w:eastAsia="方正黑体_GBK" w:hint="eastAsia"/>
          <w:sz w:val="32"/>
          <w:szCs w:val="32"/>
        </w:rPr>
        <w:t>海关</w:t>
      </w:r>
      <w:r>
        <w:rPr>
          <w:rFonts w:eastAsia="方正黑体_GBK"/>
          <w:sz w:val="32"/>
          <w:szCs w:val="32"/>
        </w:rPr>
        <w:t>2024</w:t>
      </w:r>
      <w:r>
        <w:rPr>
          <w:rFonts w:eastAsia="方正黑体_GBK" w:hint="eastAsia"/>
          <w:sz w:val="32"/>
          <w:szCs w:val="32"/>
        </w:rPr>
        <w:t>年支出预算情况说明</w:t>
      </w:r>
    </w:p>
    <w:p>
      <w:pPr>
        <w:pStyle w:val="20"/>
        <w:spacing w:line="560" w:lineRule="exact"/>
        <w:ind w:firstLineChars="200" w:firstLine="640"/>
        <w:rPr>
          <w:rFonts w:eastAsia="方正仿宋_GBK"/>
          <w:sz w:val="32"/>
          <w:szCs w:val="32"/>
        </w:rPr>
      </w:pPr>
      <w:r>
        <w:rPr>
          <w:rFonts w:eastAsia="方正仿宋_GBK" w:hint="eastAsia"/>
          <w:sz w:val="32"/>
          <w:szCs w:val="32"/>
        </w:rPr>
        <w:t>济南海关</w:t>
      </w:r>
      <w:r>
        <w:rPr>
          <w:rFonts w:eastAsia="方正仿宋_GBK"/>
          <w:sz w:val="32"/>
          <w:szCs w:val="32"/>
        </w:rPr>
        <w:t>2024</w:t>
      </w:r>
      <w:r>
        <w:rPr>
          <w:rFonts w:eastAsia="方正仿宋_GBK" w:hint="eastAsia"/>
          <w:sz w:val="32"/>
          <w:szCs w:val="32"/>
        </w:rPr>
        <w:t>年支出预算</w:t>
      </w:r>
      <w:r>
        <w:rPr>
          <w:rFonts w:eastAsia="方正仿宋_GBK" w:hint="eastAsia"/>
          <w:sz w:val="32"/>
          <w:szCs w:val="32"/>
          <w:lang w:val="en-US" w:eastAsia="zh-CN"/>
        </w:rPr>
        <w:t>1012.06</w:t>
      </w:r>
      <w:r>
        <w:rPr>
          <w:rFonts w:eastAsia="方正仿宋_GBK" w:hint="eastAsia"/>
          <w:sz w:val="32"/>
          <w:szCs w:val="32"/>
        </w:rPr>
        <w:t>万元，其中：基本支出</w:t>
      </w:r>
      <w:r>
        <w:rPr>
          <w:rFonts w:eastAsia="方正仿宋_GBK" w:hint="eastAsia"/>
          <w:sz w:val="32"/>
          <w:szCs w:val="32"/>
          <w:lang w:val="en-US" w:eastAsia="zh-CN"/>
        </w:rPr>
        <w:t>997.79</w:t>
      </w:r>
      <w:r>
        <w:rPr>
          <w:rFonts w:eastAsia="方正仿宋_GBK" w:hint="eastAsia"/>
          <w:sz w:val="32"/>
          <w:szCs w:val="32"/>
        </w:rPr>
        <w:t>万元，占</w:t>
      </w:r>
      <w:r>
        <w:rPr>
          <w:rFonts w:eastAsia="方正仿宋_GBK" w:hint="eastAsia"/>
          <w:sz w:val="32"/>
          <w:szCs w:val="32"/>
          <w:lang w:val="en-US" w:eastAsia="zh-CN"/>
        </w:rPr>
        <w:t>98.59</w:t>
      </w:r>
      <w:r>
        <w:rPr>
          <w:rFonts w:eastAsia="方正仿宋_GBK"/>
          <w:sz w:val="32"/>
          <w:szCs w:val="32"/>
        </w:rPr>
        <w:t>%</w:t>
      </w:r>
      <w:r>
        <w:rPr>
          <w:rFonts w:eastAsia="方正仿宋_GBK" w:hint="eastAsia"/>
          <w:sz w:val="32"/>
          <w:szCs w:val="32"/>
        </w:rPr>
        <w:t>；项目支出</w:t>
      </w:r>
      <w:r>
        <w:rPr>
          <w:rFonts w:eastAsia="方正仿宋_GBK" w:hint="eastAsia"/>
          <w:sz w:val="32"/>
          <w:szCs w:val="32"/>
          <w:lang w:val="en-US" w:eastAsia="zh-CN"/>
        </w:rPr>
        <w:t>14.27</w:t>
      </w:r>
      <w:r>
        <w:rPr>
          <w:rFonts w:eastAsia="方正仿宋_GBK" w:hint="eastAsia"/>
          <w:sz w:val="32"/>
          <w:szCs w:val="32"/>
        </w:rPr>
        <w:t>万元，占</w:t>
      </w:r>
      <w:r>
        <w:rPr>
          <w:rFonts w:eastAsia="方正仿宋_GBK" w:hint="eastAsia"/>
          <w:sz w:val="32"/>
          <w:szCs w:val="32"/>
          <w:lang w:val="en-US" w:eastAsia="zh-CN"/>
        </w:rPr>
        <w:t>1.41</w:t>
      </w:r>
      <w:r>
        <w:rPr>
          <w:rFonts w:eastAsia="方正仿宋_GBK"/>
          <w:sz w:val="32"/>
          <w:szCs w:val="32"/>
        </w:rPr>
        <w:t>%</w:t>
      </w:r>
      <w:r>
        <w:rPr>
          <w:rFonts w:eastAsia="方正仿宋_GBK" w:hint="eastAsia"/>
          <w:sz w:val="32"/>
          <w:szCs w:val="32"/>
        </w:rPr>
        <w:t>。</w:t>
      </w:r>
    </w:p>
    <w:p>
      <w:pPr>
        <w:pStyle w:val="20"/>
        <w:spacing w:line="560" w:lineRule="exact"/>
        <w:ind w:firstLineChars="200" w:firstLine="640"/>
        <w:rPr>
          <w:rFonts w:eastAsia="方正黑体_GBK"/>
          <w:sz w:val="32"/>
          <w:szCs w:val="32"/>
        </w:rPr>
      </w:pPr>
      <w:r>
        <w:rPr>
          <w:rFonts w:eastAsia="方正仿宋_GBK"/>
          <w:sz w:val="32"/>
          <w:szCs w:val="32"/>
        </w:rPr>
        <w:drawing>
          <wp:anchor distT="0" distB="0" distL="85089" distR="85089" simplePos="0" relativeHeight="17" behindDoc="1" locked="0" layoutInCell="1" hidden="0" allowOverlap="1">
            <wp:simplePos x="0" y="0"/>
            <wp:positionH relativeFrom="column">
              <wp:posOffset>486410</wp:posOffset>
            </wp:positionH>
            <wp:positionV relativeFrom="paragraph">
              <wp:posOffset>-8147684</wp:posOffset>
            </wp:positionV>
            <wp:extent cx="4468494" cy="2686050"/>
            <wp:effectExtent l="0" t="0" r="0" b="0"/>
            <wp:wrapTopAndBottom/>
            <wp:docPr id="7" name="图片" descr="C:\Users\jn4311640\Desktop\支出预算.png支出预算"/>
            <wp:cNvGraphicFramePr>
              <a:graphicFrameLocks noChangeAspect="0"/>
            </wp:cNvGraphicFramePr>
            <a:graphic>
              <a:graphicData uri="http://schemas.openxmlformats.org/drawingml/2006/picture">
                <pic:pic>
                  <pic:nvPicPr>
                    <pic:cNvPr id="9" name="图片 9"/>
                    <pic:cNvPicPr/>
                  </pic:nvPicPr>
                  <pic:blipFill>
                    <a:blip r:embed="rId6"/>
                    <a:stretch>
                      <a:fillRect/>
                    </a:stretch>
                  </pic:blipFill>
                  <pic:spPr>
                    <a:xfrm rot="0">
                      <a:off x="0" y="0"/>
                      <a:ext cx="4468494" cy="2686050"/>
                    </a:xfrm>
                    <a:prstGeom prst="rect"/>
                    <a:noFill/>
                    <a:ln w="9525" cmpd="sng" cap="flat">
                      <a:noFill/>
                      <a:prstDash val="solid"/>
                      <a:miter/>
                    </a:ln>
                  </pic:spPr>
                </pic:pic>
              </a:graphicData>
            </a:graphic>
          </wp:anchor>
        </w:drawing>
      </w:r>
      <w:r>
        <w:rPr>
          <w:rFonts w:eastAsia="方正黑体_GBK" w:hint="eastAsia"/>
          <w:sz w:val="32"/>
          <w:szCs w:val="32"/>
        </w:rPr>
        <w:t>四、关于济南</w:t>
      </w:r>
      <w:r>
        <w:rPr>
          <w:rFonts w:eastAsia="方正黑体_GBK" w:hint="eastAsia"/>
          <w:sz w:val="32"/>
          <w:szCs w:val="32"/>
          <w:lang w:eastAsia="zh-CN"/>
        </w:rPr>
        <w:t>邮局</w:t>
      </w:r>
      <w:r>
        <w:rPr>
          <w:rFonts w:eastAsia="方正黑体_GBK" w:hint="eastAsia"/>
          <w:sz w:val="32"/>
          <w:szCs w:val="32"/>
        </w:rPr>
        <w:t>海关202</w:t>
      </w:r>
      <w:r>
        <w:rPr>
          <w:rFonts w:eastAsia="方正黑体_GBK"/>
          <w:sz w:val="32"/>
          <w:szCs w:val="32"/>
        </w:rPr>
        <w:t>4</w:t>
      </w:r>
      <w:r>
        <w:rPr>
          <w:rFonts w:eastAsia="方正黑体_GBK" w:hint="eastAsia"/>
          <w:sz w:val="32"/>
          <w:szCs w:val="32"/>
        </w:rPr>
        <w:t>年财政拨款收支预算情况的总体说明</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w:t>
      </w:r>
      <w:r>
        <w:rPr>
          <w:rFonts w:ascii="Times New Roman" w:eastAsia="方正仿宋_GBK" w:hAnsi="Times New Roman"/>
          <w:sz w:val="32"/>
          <w:szCs w:val="32"/>
        </w:rPr>
        <w:t>24</w:t>
      </w:r>
      <w:r>
        <w:rPr>
          <w:rFonts w:ascii="Times New Roman" w:eastAsia="方正仿宋_GBK" w:hAnsi="Times New Roman" w:hint="eastAsia"/>
          <w:sz w:val="32"/>
          <w:szCs w:val="32"/>
        </w:rPr>
        <w:t>年财政拨款收支总预算</w:t>
      </w:r>
      <w:r>
        <w:rPr>
          <w:rFonts w:ascii="Times New Roman" w:eastAsia="方正仿宋_GBK" w:hAnsi="Times New Roman" w:hint="eastAsia"/>
          <w:sz w:val="32"/>
          <w:szCs w:val="32"/>
          <w:lang w:val="en-US" w:eastAsia="zh-CN"/>
        </w:rPr>
        <w:t>571.31</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hint="eastAsia"/>
          <w:sz w:val="32"/>
          <w:szCs w:val="32"/>
          <w:lang w:val="en-US" w:eastAsia="zh-CN"/>
        </w:rPr>
        <w:t>571.31</w:t>
      </w:r>
      <w:r>
        <w:rPr>
          <w:rFonts w:ascii="Times New Roman" w:eastAsia="方正仿宋_GBK" w:hAnsi="Times New Roman" w:hint="eastAsia"/>
          <w:sz w:val="32"/>
          <w:szCs w:val="32"/>
        </w:rPr>
        <w:t>万元。支出包括：一般公共服务支出</w:t>
      </w:r>
      <w:r>
        <w:rPr>
          <w:rFonts w:ascii="Times New Roman" w:eastAsia="方正仿宋_GBK" w:hAnsi="Times New Roman" w:hint="eastAsia"/>
          <w:sz w:val="32"/>
          <w:szCs w:val="32"/>
          <w:lang w:val="en-US" w:eastAsia="zh-CN"/>
        </w:rPr>
        <w:t>413.77</w:t>
      </w:r>
      <w:r>
        <w:rPr>
          <w:rFonts w:ascii="Times New Roman" w:eastAsia="方正仿宋_GBK" w:hAnsi="Times New Roman" w:hint="eastAsia"/>
          <w:sz w:val="32"/>
          <w:szCs w:val="32"/>
        </w:rPr>
        <w:t>万元、社会保障和就业支出</w:t>
      </w:r>
      <w:r>
        <w:rPr>
          <w:rFonts w:ascii="Times New Roman" w:eastAsia="方正仿宋_GBK" w:hAnsi="Times New Roman" w:hint="eastAsia"/>
          <w:sz w:val="32"/>
          <w:szCs w:val="32"/>
          <w:lang w:val="en-US" w:eastAsia="zh-CN"/>
        </w:rPr>
        <w:t>55.88</w:t>
      </w:r>
      <w:r>
        <w:rPr>
          <w:rFonts w:ascii="Times New Roman" w:eastAsia="方正仿宋_GBK" w:hAnsi="Times New Roman" w:hint="eastAsia"/>
          <w:sz w:val="32"/>
          <w:szCs w:val="32"/>
        </w:rPr>
        <w:t>万元、卫生健康支出</w:t>
      </w:r>
      <w:r>
        <w:rPr>
          <w:rFonts w:ascii="Times New Roman" w:eastAsia="方正仿宋_GBK" w:hAnsi="Times New Roman" w:hint="eastAsia"/>
          <w:sz w:val="32"/>
          <w:szCs w:val="32"/>
          <w:lang w:val="en-US" w:eastAsia="zh-CN"/>
        </w:rPr>
        <w:t>23.69</w:t>
      </w:r>
      <w:r>
        <w:rPr>
          <w:rFonts w:ascii="Times New Roman" w:eastAsia="方正仿宋_GBK" w:hAnsi="Times New Roman" w:hint="eastAsia"/>
          <w:sz w:val="32"/>
          <w:szCs w:val="32"/>
        </w:rPr>
        <w:t>万元、住房保障支出</w:t>
      </w:r>
      <w:r>
        <w:rPr>
          <w:rFonts w:ascii="Times New Roman" w:eastAsia="方正仿宋_GBK" w:hAnsi="Times New Roman" w:hint="eastAsia"/>
          <w:sz w:val="32"/>
          <w:szCs w:val="32"/>
          <w:lang w:val="en-US" w:eastAsia="zh-CN"/>
        </w:rPr>
        <w:t>77.97</w:t>
      </w:r>
      <w:r>
        <w:rPr>
          <w:rFonts w:ascii="Times New Roman" w:eastAsia="方正仿宋_GBK" w:hAnsi="Times New Roman" w:hint="eastAsia"/>
          <w:sz w:val="32"/>
          <w:szCs w:val="32"/>
        </w:rPr>
        <w:t>万元。</w:t>
      </w:r>
    </w:p>
    <w:p>
      <w:pPr>
        <w:spacing w:line="240" w:lineRule="auto"/>
        <w:ind w:firstLineChars="200" w:firstLine="640"/>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drawing>
          <wp:inline distT="0" distB="0" distL="114300" distR="114300">
            <wp:extent cx="4584065" cy="2755265"/>
            <wp:effectExtent l="0" t="0" r="0" b="0"/>
            <wp:docPr id="10" name="图片 5" descr="财政拨款支出预算"/>
            <wp:cNvGraphicFramePr>
              <a:graphicFrameLocks noChangeAspect="1"/>
            </wp:cNvGraphicFramePr>
            <a:graphic>
              <a:graphicData uri="http://schemas.openxmlformats.org/drawingml/2006/picture">
                <pic:pic>
                  <pic:nvPicPr>
                    <pic:cNvPr id="12" name="图片 5 12"/>
                    <pic:cNvPicPr/>
                  </pic:nvPicPr>
                  <pic:blipFill>
                    <a:blip r:embed="rId7"/>
                    <a:stretch>
                      <a:fillRect/>
                    </a:stretch>
                  </pic:blipFill>
                  <pic:spPr>
                    <a:xfrm rot="0">
                      <a:off x="0" y="0"/>
                      <a:ext cx="4584065" cy="2755265"/>
                    </a:xfrm>
                    <a:prstGeom prst="rect"/>
                    <a:noFill/>
                    <a:ln w="9525" cmpd="sng" cap="flat">
                      <a:noFill/>
                      <a:prstDash val="solid"/>
                      <a:miter/>
                    </a:ln>
                  </pic:spPr>
                </pic:pic>
              </a:graphicData>
            </a:graphic>
          </wp:inline>
        </w:drawing>
      </w:r>
    </w:p>
    <w:p>
      <w:pPr>
        <w:spacing w:line="560" w:lineRule="exact"/>
        <w:ind w:left="0"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五、关于济南</w:t>
      </w:r>
      <w:r>
        <w:rPr>
          <w:rFonts w:ascii="Times New Roman" w:eastAsia="方正黑体_GBK" w:hAnsi="Times New Roman" w:hint="eastAsia"/>
          <w:sz w:val="32"/>
          <w:szCs w:val="32"/>
          <w:lang w:eastAsia="zh-CN"/>
        </w:rPr>
        <w:t>邮局</w:t>
      </w:r>
      <w:r>
        <w:rPr>
          <w:rFonts w:ascii="Times New Roman" w:eastAsia="方正黑体_GBK" w:hAnsi="Times New Roman" w:hint="eastAsia"/>
          <w:sz w:val="32"/>
          <w:szCs w:val="32"/>
        </w:rPr>
        <w:t>海关202</w:t>
      </w:r>
      <w:r>
        <w:rPr>
          <w:rFonts w:ascii="Times New Roman" w:eastAsia="方正黑体_GBK" w:hAnsi="Times New Roman"/>
          <w:sz w:val="32"/>
          <w:szCs w:val="32"/>
        </w:rPr>
        <w:t>4</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highlight w:val="auto"/>
        </w:rPr>
      </w:pPr>
      <w:r>
        <w:rPr>
          <w:rFonts w:ascii="Times New Roman" w:eastAsia="方正楷体_GBK" w:hAnsi="Times New Roman" w:hint="eastAsia"/>
          <w:b/>
          <w:bCs/>
          <w:sz w:val="32"/>
          <w:szCs w:val="32"/>
          <w:highlight w:val="auto"/>
        </w:rPr>
        <w:t>（一）一般公共预算当年财政拨款规模变化情况。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年一般公共预算当年财政拨款预算</w:t>
      </w:r>
      <w:r>
        <w:rPr>
          <w:rFonts w:ascii="Times New Roman" w:eastAsia="方正仿宋_GBK" w:hAnsi="Times New Roman" w:hint="eastAsia"/>
          <w:sz w:val="32"/>
          <w:szCs w:val="32"/>
          <w:lang w:val="en-US" w:eastAsia="zh-CN"/>
        </w:rPr>
        <w:t>571.31</w:t>
      </w:r>
      <w:r>
        <w:rPr>
          <w:rFonts w:ascii="Times New Roman" w:eastAsia="方正仿宋_GBK" w:hAnsi="Times New Roman" w:hint="eastAsia"/>
          <w:sz w:val="32"/>
          <w:szCs w:val="32"/>
        </w:rPr>
        <w:t>万元，比</w:t>
      </w:r>
      <w:r>
        <w:rPr>
          <w:rFonts w:ascii="Times New Roman" w:eastAsia="方正仿宋_GBK" w:hAnsi="Times New Roman" w:hint="eastAsia"/>
          <w:sz w:val="32"/>
          <w:szCs w:val="32"/>
          <w:highlight w:val="auto"/>
        </w:rPr>
        <w:t>202</w:t>
      </w:r>
      <w:r>
        <w:rPr>
          <w:rFonts w:ascii="Times New Roman" w:eastAsia="方正仿宋_GBK" w:hAnsi="Times New Roman"/>
          <w:sz w:val="32"/>
          <w:szCs w:val="32"/>
          <w:highlight w:val="auto"/>
        </w:rPr>
        <w:t>3</w:t>
      </w:r>
      <w:r>
        <w:rPr>
          <w:rFonts w:ascii="Times New Roman" w:eastAsia="方正仿宋_GBK" w:hAnsi="Times New Roman" w:hint="eastAsia"/>
          <w:sz w:val="32"/>
          <w:szCs w:val="32"/>
          <w:highlight w:val="auto"/>
        </w:rPr>
        <w:t>年执行</w:t>
      </w:r>
      <w:r>
        <w:rPr>
          <w:rFonts w:ascii="Times New Roman" w:eastAsia="方正仿宋_GBK" w:hAnsi="Times New Roman" w:hint="eastAsia"/>
          <w:sz w:val="32"/>
          <w:szCs w:val="32"/>
        </w:rPr>
        <w:t>数减少</w:t>
      </w:r>
      <w:r>
        <w:rPr>
          <w:rFonts w:ascii="Times New Roman" w:eastAsia="方正仿宋_GBK" w:hAnsi="Times New Roman" w:hint="eastAsia"/>
          <w:sz w:val="32"/>
          <w:szCs w:val="32"/>
          <w:lang w:val="en-US" w:eastAsia="zh-CN"/>
        </w:rPr>
        <w:t>36.57</w:t>
      </w:r>
      <w:r>
        <w:rPr>
          <w:rFonts w:ascii="Times New Roman" w:eastAsia="方正仿宋_GBK" w:hAnsi="Times New Roman" w:hint="eastAsia"/>
          <w:sz w:val="32"/>
          <w:szCs w:val="32"/>
        </w:rPr>
        <w:t xml:space="preserve"> 万元，压减</w:t>
      </w:r>
      <w:r>
        <w:rPr>
          <w:rFonts w:ascii="Times New Roman" w:eastAsia="方正仿宋_GBK" w:hAnsi="Times New Roman" w:hint="eastAsia"/>
          <w:sz w:val="32"/>
          <w:szCs w:val="32"/>
          <w:lang w:val="en-US" w:eastAsia="zh-CN"/>
        </w:rPr>
        <w:t>6.02</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sz w:val="32"/>
          <w:szCs w:val="32"/>
        </w:rPr>
        <w:t>海关坚决落实党政机关习惯过紧日子要求，</w:t>
      </w:r>
      <w:r>
        <w:rPr>
          <w:rFonts w:ascii="Times New Roman" w:eastAsia="方正仿宋_GBK" w:hAnsi="Times New Roman" w:hint="eastAsia"/>
          <w:sz w:val="32"/>
          <w:szCs w:val="32"/>
        </w:rPr>
        <w:t>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w:t>
      </w:r>
      <w:r>
        <w:rPr>
          <w:rFonts w:ascii="Times New Roman" w:eastAsia="方正仿宋_GBK" w:hAnsi="Times New Roman" w:hint="eastAsia"/>
          <w:sz w:val="32"/>
          <w:szCs w:val="32"/>
          <w:lang w:eastAsia="zh-CN"/>
        </w:rPr>
        <w:t>检验检疫</w:t>
      </w:r>
      <w:r>
        <w:rPr>
          <w:rFonts w:ascii="Times New Roman" w:eastAsia="方正仿宋_GBK" w:hAnsi="Times New Roman" w:hint="eastAsia"/>
          <w:sz w:val="32"/>
          <w:szCs w:val="32"/>
        </w:rPr>
        <w:t>等必要支出需求，体现在有关支出科目中。</w:t>
      </w:r>
    </w:p>
    <w:p>
      <w:pPr>
        <w:spacing w:line="560" w:lineRule="exact"/>
        <w:ind w:firstLineChars="200" w:firstLine="640"/>
        <w:jc w:val="left"/>
        <w:rPr>
          <w:rFonts w:ascii="Times New Roman" w:eastAsia="方正楷体_GBK" w:hAnsi="Times New Roman"/>
          <w:b/>
          <w:bCs/>
          <w:sz w:val="32"/>
          <w:szCs w:val="32"/>
          <w:highlight w:val="auto"/>
        </w:rPr>
      </w:pPr>
      <w:r>
        <w:rPr>
          <w:rFonts w:ascii="Times New Roman" w:eastAsia="方正楷体_GBK" w:hAnsi="Times New Roman" w:hint="eastAsia"/>
          <w:b/>
          <w:bCs/>
          <w:sz w:val="32"/>
          <w:szCs w:val="32"/>
          <w:highlight w:val="auto"/>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drawing>
          <wp:anchor distT="0" distB="0" distL="85089" distR="85089" simplePos="0" relativeHeight="18" behindDoc="1" locked="0" layoutInCell="1" hidden="0" allowOverlap="1">
            <wp:simplePos x="0" y="0"/>
            <wp:positionH relativeFrom="column">
              <wp:posOffset>556895</wp:posOffset>
            </wp:positionH>
            <wp:positionV relativeFrom="paragraph">
              <wp:posOffset>2272029</wp:posOffset>
            </wp:positionV>
            <wp:extent cx="4282440" cy="2574290"/>
            <wp:effectExtent l="0" t="0" r="0" b="0"/>
            <wp:wrapTopAndBottom/>
            <wp:docPr id="13" name="图片" descr="C:\Users\jn4311640\Desktop\一般公共.png一般公共"/>
            <wp:cNvGraphicFramePr>
              <a:graphicFrameLocks noChangeAspect="0"/>
            </wp:cNvGraphicFramePr>
            <a:graphic>
              <a:graphicData uri="http://schemas.openxmlformats.org/drawingml/2006/picture">
                <pic:pic>
                  <pic:nvPicPr>
                    <pic:cNvPr id="15" name="图片 15"/>
                    <pic:cNvPicPr/>
                  </pic:nvPicPr>
                  <pic:blipFill>
                    <a:blip r:embed="rId8"/>
                    <a:stretch>
                      <a:fillRect/>
                    </a:stretch>
                  </pic:blipFill>
                  <pic:spPr>
                    <a:xfrm rot="0">
                      <a:off x="0" y="0"/>
                      <a:ext cx="4282440" cy="2574290"/>
                    </a:xfrm>
                    <a:prstGeom prst="rect"/>
                    <a:noFill/>
                    <a:ln w="9525" cmpd="sng" cap="flat">
                      <a:noFill/>
                      <a:prstDash val="solid"/>
                      <a:miter/>
                    </a:ln>
                  </pic:spPr>
                </pic:pic>
              </a:graphicData>
            </a:graphic>
          </wp:anchor>
        </w:drawing>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hint="eastAsia"/>
          <w:sz w:val="32"/>
          <w:szCs w:val="32"/>
          <w:lang w:val="en-US" w:eastAsia="zh-CN"/>
        </w:rPr>
        <w:t>413.77</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72.42</w:t>
      </w:r>
      <w:r>
        <w:rPr>
          <w:rFonts w:ascii="Times New Roman" w:eastAsia="方正仿宋_GBK" w:hAnsi="Times New Roman" w:hint="eastAsia"/>
          <w:sz w:val="32"/>
          <w:szCs w:val="32"/>
        </w:rPr>
        <w:t>%；社会保障和就业（类）支出</w:t>
      </w:r>
      <w:r>
        <w:rPr>
          <w:rFonts w:ascii="Times New Roman" w:eastAsia="方正仿宋_GBK" w:hAnsi="Times New Roman" w:hint="eastAsia"/>
          <w:sz w:val="32"/>
          <w:szCs w:val="32"/>
          <w:lang w:val="en-US" w:eastAsia="zh-CN"/>
        </w:rPr>
        <w:t>55.88</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9.78</w:t>
      </w:r>
      <w:r>
        <w:rPr>
          <w:rFonts w:ascii="Times New Roman" w:eastAsia="方正仿宋_GBK" w:hAnsi="Times New Roman" w:hint="eastAsia"/>
          <w:sz w:val="32"/>
          <w:szCs w:val="32"/>
        </w:rPr>
        <w:t>%；卫生健康（类）支出</w:t>
      </w:r>
      <w:r>
        <w:rPr>
          <w:rFonts w:ascii="Times New Roman" w:eastAsia="方正仿宋_GBK" w:hAnsi="Times New Roman" w:hint="eastAsia"/>
          <w:sz w:val="32"/>
          <w:szCs w:val="32"/>
          <w:lang w:val="en-US" w:eastAsia="zh-CN"/>
        </w:rPr>
        <w:t>23.69</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4.15</w:t>
      </w:r>
      <w:r>
        <w:rPr>
          <w:rFonts w:ascii="Times New Roman" w:eastAsia="方正仿宋_GBK" w:hAnsi="Times New Roman" w:hint="eastAsia"/>
          <w:sz w:val="32"/>
          <w:szCs w:val="32"/>
        </w:rPr>
        <w:t>%；住房保障（类）支出</w:t>
      </w:r>
      <w:r>
        <w:rPr>
          <w:rFonts w:ascii="Times New Roman" w:eastAsia="方正仿宋_GBK" w:hAnsi="Times New Roman" w:hint="eastAsia"/>
          <w:sz w:val="32"/>
          <w:szCs w:val="32"/>
          <w:lang w:val="en-US" w:eastAsia="zh-CN"/>
        </w:rPr>
        <w:t>77.97</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13.65</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413.77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hint="eastAsia"/>
          <w:sz w:val="32"/>
          <w:szCs w:val="32"/>
          <w:lang w:val="en-US" w:eastAsia="zh-CN"/>
        </w:rPr>
        <w:t>45.68</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万元，下降</w:t>
      </w:r>
      <w:r>
        <w:rPr>
          <w:rFonts w:ascii="Times New Roman" w:eastAsia="方正仿宋_GBK" w:hAnsi="Times New Roman" w:hint="eastAsia"/>
          <w:sz w:val="32"/>
          <w:szCs w:val="32"/>
          <w:lang w:val="en-US" w:eastAsia="zh-CN"/>
        </w:rPr>
        <w:t>9.94</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399.5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增加</w:t>
      </w:r>
      <w:r>
        <w:rPr>
          <w:rFonts w:ascii="Times New Roman" w:eastAsia="方正仿宋_GBK" w:hAnsi="Times New Roman" w:hint="eastAsia"/>
          <w:sz w:val="32"/>
          <w:szCs w:val="32"/>
          <w:lang w:val="en-US" w:eastAsia="zh-CN"/>
        </w:rPr>
        <w:t>4.08</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增加</w:t>
      </w:r>
      <w:r>
        <w:rPr>
          <w:rFonts w:ascii="Times New Roman" w:eastAsia="方正仿宋_GBK" w:hAnsi="Times New Roman" w:hint="eastAsia"/>
          <w:sz w:val="32"/>
          <w:szCs w:val="32"/>
          <w:lang w:val="en-US" w:eastAsia="zh-CN"/>
        </w:rPr>
        <w:t>1.03</w:t>
      </w:r>
      <w:r>
        <w:rPr>
          <w:rFonts w:ascii="Times New Roman" w:eastAsia="方正仿宋_GBK" w:hAnsi="Times New Roman"/>
          <w:sz w:val="32"/>
          <w:szCs w:val="32"/>
        </w:rPr>
        <w:t>%</w:t>
      </w:r>
      <w:r>
        <w:rPr>
          <w:rFonts w:ascii="Times New Roman" w:eastAsia="方正仿宋_GBK" w:hAnsi="Times New Roman" w:hint="eastAsia"/>
          <w:sz w:val="32"/>
          <w:szCs w:val="32"/>
        </w:rPr>
        <w:t>。主要是</w:t>
      </w:r>
      <w:r>
        <w:rPr>
          <w:rFonts w:ascii="Times New Roman" w:eastAsia="方正仿宋_GBK" w:hAnsi="Times New Roman" w:hint="eastAsia"/>
          <w:sz w:val="32"/>
          <w:szCs w:val="32"/>
          <w:lang w:eastAsia="zh-CN"/>
        </w:rPr>
        <w:t>我关人员增加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）缉私办案（项）202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hint="eastAsia"/>
          <w:sz w:val="32"/>
          <w:szCs w:val="32"/>
          <w:lang w:val="en-US" w:eastAsia="zh-CN"/>
        </w:rPr>
        <w:t>12.24</w:t>
      </w:r>
      <w:r>
        <w:rPr>
          <w:rFonts w:ascii="Times New Roman" w:eastAsia="方正仿宋_GBK" w:hAnsi="Times New Roman" w:hint="eastAsia"/>
          <w:sz w:val="32"/>
          <w:szCs w:val="32"/>
        </w:rPr>
        <w:t>万元，下降</w:t>
      </w:r>
      <w:r>
        <w:rPr>
          <w:rFonts w:ascii="Times New Roman" w:eastAsia="方正仿宋_GBK" w:hAnsi="Times New Roman" w:hint="eastAsia"/>
          <w:sz w:val="32"/>
          <w:szCs w:val="32"/>
          <w:lang w:val="en-US" w:eastAsia="zh-CN"/>
        </w:rPr>
        <w:t>100</w:t>
      </w:r>
      <w:r>
        <w:rPr>
          <w:rFonts w:ascii="Times New Roman" w:eastAsia="方正仿宋_GBK" w:hAnsi="Times New Roman" w:hint="eastAsia"/>
          <w:sz w:val="32"/>
          <w:szCs w:val="32"/>
        </w:rPr>
        <w:t>%。主要为缉私办案支出减少。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）海关关务（项）202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11.77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3.98</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51.09</w:t>
      </w:r>
      <w:r>
        <w:rPr>
          <w:rFonts w:ascii="Times New Roman" w:eastAsia="方正仿宋_GBK" w:hAnsi="Times New Roman" w:hint="eastAsia"/>
          <w:sz w:val="32"/>
          <w:szCs w:val="32"/>
        </w:rPr>
        <w:t>%。主要是</w:t>
      </w:r>
      <w:r>
        <w:rPr>
          <w:rFonts w:ascii="Times New Roman" w:eastAsia="方正仿宋_GBK" w:hAnsi="Times New Roman" w:hint="eastAsia"/>
          <w:sz w:val="32"/>
          <w:szCs w:val="32"/>
          <w:lang w:eastAsia="zh-CN"/>
        </w:rPr>
        <w:t>业务保障及能力提升专项增加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hAnsi="Times New Roman" w:hint="eastAsia"/>
          <w:sz w:val="32"/>
          <w:szCs w:val="32"/>
          <w:lang w:val="en-US" w:eastAsia="zh-CN"/>
        </w:rPr>
        <w:t>4</w:t>
      </w:r>
      <w:r>
        <w:rPr>
          <w:rFonts w:ascii="Times New Roman" w:eastAsia="方正仿宋_GBK" w:hAnsi="Times New Roman" w:hint="eastAsia"/>
          <w:sz w:val="32"/>
          <w:szCs w:val="32"/>
        </w:rPr>
        <w:t>）海关监管（项）202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21</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100</w:t>
      </w:r>
      <w:r>
        <w:rPr>
          <w:rFonts w:ascii="Times New Roman" w:eastAsia="方正仿宋_GBK" w:hAnsi="Times New Roman"/>
          <w:sz w:val="32"/>
          <w:szCs w:val="32"/>
        </w:rPr>
        <w:t>%</w:t>
      </w:r>
      <w:r>
        <w:rPr>
          <w:rFonts w:ascii="Times New Roman" w:eastAsia="方正仿宋_GBK" w:hAnsi="Times New Roman" w:hint="eastAsia"/>
          <w:sz w:val="32"/>
          <w:szCs w:val="32"/>
        </w:rPr>
        <w:t>。主要是海关监管支出</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）检验检疫（项）202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2.5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hint="eastAsia"/>
          <w:sz w:val="32"/>
          <w:szCs w:val="32"/>
          <w:lang w:val="en-US" w:eastAsia="zh-CN"/>
        </w:rPr>
        <w:t>20.5</w:t>
      </w:r>
      <w:r>
        <w:rPr>
          <w:rFonts w:ascii="Times New Roman" w:eastAsia="方正仿宋_GBK" w:hAnsi="Times New Roman" w:hint="eastAsia"/>
          <w:sz w:val="32"/>
          <w:szCs w:val="32"/>
        </w:rPr>
        <w:t>万元，下降</w:t>
      </w:r>
      <w:r>
        <w:rPr>
          <w:rFonts w:ascii="Times New Roman" w:eastAsia="方正仿宋_GBK" w:hAnsi="Times New Roman" w:hint="eastAsia"/>
          <w:sz w:val="32"/>
          <w:szCs w:val="32"/>
          <w:lang w:val="en-US" w:eastAsia="zh-CN"/>
        </w:rPr>
        <w:t>89.13</w:t>
      </w:r>
      <w:r>
        <w:rPr>
          <w:rFonts w:ascii="Times New Roman" w:eastAsia="方正仿宋_GBK" w:hAnsi="Times New Roman"/>
          <w:sz w:val="32"/>
          <w:szCs w:val="32"/>
        </w:rPr>
        <w:t>%</w:t>
      </w:r>
      <w:r>
        <w:rPr>
          <w:rFonts w:ascii="Times New Roman" w:eastAsia="方正仿宋_GBK" w:hAnsi="Times New Roman" w:hint="eastAsia"/>
          <w:sz w:val="32"/>
          <w:szCs w:val="32"/>
        </w:rPr>
        <w:t>。主要是检验检疫支出减少。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．社会保障和就业支出（类）行政事业单位养老支出（款）202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55.88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7.24</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14.88</w:t>
      </w:r>
      <w:r>
        <w:rPr>
          <w:rFonts w:ascii="Times New Roman" w:eastAsia="方正仿宋_GBK" w:hAnsi="Times New Roman"/>
          <w:sz w:val="32"/>
          <w:szCs w:val="32"/>
        </w:rPr>
        <w:t>%</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1</w:t>
      </w:r>
      <w:r>
        <w:rPr>
          <w:rFonts w:ascii="Times New Roman" w:eastAsia="方正仿宋_GBK" w:hAnsi="Times New Roman" w:hint="eastAsia"/>
          <w:sz w:val="32"/>
          <w:szCs w:val="32"/>
        </w:rPr>
        <w:t>）机关事业单位基本养老保险缴费支出（项）202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37.25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4.82</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14.86</w:t>
      </w:r>
      <w:r>
        <w:rPr>
          <w:rFonts w:ascii="Times New Roman" w:eastAsia="方正仿宋_GBK" w:hAnsi="Times New Roman" w:hint="eastAsia"/>
          <w:sz w:val="32"/>
          <w:szCs w:val="32"/>
        </w:rPr>
        <w:t>%。主要是基本养老保险单位缴费经费增加。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）机关事业单位职业年金缴费支出（项）202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18.63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2.42</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14.93</w:t>
      </w:r>
      <w:r>
        <w:rPr>
          <w:rFonts w:ascii="Times New Roman" w:eastAsia="方正仿宋_GBK" w:hAnsi="Times New Roman" w:hint="eastAsia"/>
          <w:sz w:val="32"/>
          <w:szCs w:val="32"/>
        </w:rPr>
        <w:t>%。主要是职业年金单位缴费经费增加。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4．卫生健康支出（类）行政事业单位医疗（款）202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23.69</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hint="eastAsia"/>
          <w:sz w:val="32"/>
          <w:szCs w:val="32"/>
          <w:lang w:val="en-US" w:eastAsia="zh-CN"/>
        </w:rPr>
        <w:t>0.96</w:t>
      </w:r>
      <w:r>
        <w:rPr>
          <w:rFonts w:ascii="Times New Roman" w:eastAsia="方正仿宋_GBK" w:hAnsi="Times New Roman" w:hint="eastAsia"/>
          <w:sz w:val="32"/>
          <w:szCs w:val="32"/>
        </w:rPr>
        <w:t>万元，下降</w:t>
      </w:r>
      <w:r>
        <w:rPr>
          <w:rFonts w:ascii="Times New Roman" w:eastAsia="方正仿宋_GBK" w:hAnsi="Times New Roman" w:hint="eastAsia"/>
          <w:sz w:val="32"/>
          <w:szCs w:val="32"/>
          <w:lang w:val="en-US" w:eastAsia="zh-CN"/>
        </w:rPr>
        <w:t>3.89</w:t>
      </w:r>
      <w:r>
        <w:rPr>
          <w:rFonts w:ascii="Times New Roman" w:eastAsia="方正仿宋_GBK" w:hAnsi="Times New Roman"/>
          <w:sz w:val="32"/>
          <w:szCs w:val="32"/>
        </w:rPr>
        <w:t>%</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16.92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hint="eastAsia"/>
          <w:sz w:val="32"/>
          <w:szCs w:val="32"/>
          <w:lang w:val="en-US" w:eastAsia="zh-CN"/>
        </w:rPr>
        <w:t>4.58</w:t>
      </w:r>
      <w:r>
        <w:rPr>
          <w:rFonts w:ascii="Times New Roman" w:eastAsia="方正仿宋_GBK" w:hAnsi="Times New Roman"/>
          <w:sz w:val="32"/>
          <w:szCs w:val="32"/>
        </w:rPr>
        <w:t xml:space="preserve"> </w:t>
      </w:r>
      <w:r>
        <w:rPr>
          <w:rFonts w:ascii="Times New Roman" w:eastAsia="方正仿宋_GBK" w:hAnsi="Times New Roman" w:hint="eastAsia"/>
          <w:sz w:val="32"/>
          <w:szCs w:val="32"/>
        </w:rPr>
        <w:t>万元，下降</w:t>
      </w:r>
      <w:r>
        <w:rPr>
          <w:rFonts w:ascii="Times New Roman" w:eastAsia="方正仿宋_GBK" w:hAnsi="Times New Roman" w:hint="eastAsia"/>
          <w:sz w:val="32"/>
          <w:szCs w:val="32"/>
          <w:lang w:val="en-US" w:eastAsia="zh-CN"/>
        </w:rPr>
        <w:t>21.3</w:t>
      </w:r>
      <w:r>
        <w:rPr>
          <w:rFonts w:ascii="Times New Roman" w:eastAsia="方正仿宋_GBK" w:hAnsi="Times New Roman"/>
          <w:sz w:val="32"/>
          <w:szCs w:val="32"/>
        </w:rPr>
        <w:t>%</w:t>
      </w:r>
      <w:r>
        <w:rPr>
          <w:rFonts w:ascii="Times New Roman" w:eastAsia="方正仿宋_GBK" w:hAnsi="Times New Roman" w:hint="eastAsia"/>
          <w:sz w:val="32"/>
          <w:szCs w:val="32"/>
        </w:rPr>
        <w:t>。主要是行政单位医疗经费减少。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6.77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3.62</w:t>
      </w:r>
      <w:r>
        <w:rPr>
          <w:rFonts w:ascii="Times New Roman" w:eastAsia="方正仿宋_GBK" w:hAnsi="Times New Roman" w:hint="eastAsia"/>
          <w:sz w:val="32"/>
          <w:szCs w:val="32"/>
        </w:rPr>
        <w:t>万元</w:t>
      </w:r>
      <w:r>
        <w:rPr>
          <w:rFonts w:ascii="Times New Roman" w:eastAsia="方正仿宋_GBK" w:hAnsi="Times New Roman"/>
          <w:sz w:val="32"/>
          <w:szCs w:val="32"/>
        </w:rPr>
        <w:t>，增长</w:t>
      </w:r>
      <w:r>
        <w:rPr>
          <w:rFonts w:ascii="Times New Roman" w:eastAsia="方正仿宋_GBK" w:hAnsi="Times New Roman" w:hint="eastAsia"/>
          <w:sz w:val="32"/>
          <w:szCs w:val="32"/>
          <w:lang w:val="en-US" w:eastAsia="zh-CN"/>
        </w:rPr>
        <w:t>114.92</w:t>
      </w:r>
      <w:r>
        <w:rPr>
          <w:rFonts w:ascii="Times New Roman" w:eastAsia="方正仿宋_GBK" w:hAnsi="Times New Roman"/>
          <w:sz w:val="32"/>
          <w:szCs w:val="32"/>
        </w:rPr>
        <w:t>%</w:t>
      </w:r>
      <w:r>
        <w:rPr>
          <w:rFonts w:ascii="Times New Roman" w:eastAsia="方正仿宋_GBK" w:hAnsi="Times New Roman" w:hint="eastAsia"/>
          <w:sz w:val="32"/>
          <w:szCs w:val="32"/>
        </w:rPr>
        <w:t>。主要是公务员医疗补助经费增加。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5．住房保障支出（类）住房改革支出（款）202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77.97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2.83</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3.77</w:t>
      </w:r>
      <w:r>
        <w:rPr>
          <w:rFonts w:ascii="Times New Roman" w:eastAsia="方正仿宋_GBK" w:hAnsi="Times New Roman"/>
          <w:sz w:val="32"/>
          <w:szCs w:val="32"/>
        </w:rPr>
        <w:t>%</w:t>
      </w:r>
      <w:r>
        <w:rPr>
          <w:rFonts w:ascii="Times New Roman" w:eastAsia="方正仿宋_GBK" w:hAnsi="Times New Roman" w:hint="eastAsia"/>
          <w:sz w:val="32"/>
          <w:szCs w:val="32"/>
        </w:rPr>
        <w:t>。主要是缴存基数调整和职务职级变动相应增加经费支出。其中：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49.08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0.99</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1.98</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28.89</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3.82</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15.24</w:t>
      </w:r>
      <w:r>
        <w:rPr>
          <w:rFonts w:ascii="Times New Roman" w:eastAsia="方正仿宋_GBK" w:hAnsi="Times New Roman"/>
          <w:sz w:val="32"/>
          <w:szCs w:val="32"/>
        </w:rPr>
        <w:t>%</w:t>
      </w:r>
      <w:r>
        <w:rPr>
          <w:rFonts w:ascii="Times New Roman" w:eastAsia="方正仿宋_GBK" w:hAnsi="Times New Roman" w:hint="eastAsia"/>
          <w:sz w:val="32"/>
          <w:szCs w:val="32"/>
        </w:rPr>
        <w:t>。</w:t>
      </w:r>
    </w:p>
    <w:p>
      <w:pPr>
        <w:pStyle w:val="20"/>
        <w:spacing w:line="560" w:lineRule="exact"/>
        <w:ind w:firstLineChars="200" w:firstLine="640"/>
        <w:rPr>
          <w:rFonts w:eastAsia="方正黑体_GBK"/>
          <w:sz w:val="32"/>
          <w:szCs w:val="32"/>
        </w:rPr>
      </w:pPr>
      <w:r>
        <w:rPr>
          <w:rFonts w:eastAsia="方正黑体_GBK" w:hint="eastAsia"/>
          <w:sz w:val="32"/>
          <w:szCs w:val="32"/>
        </w:rPr>
        <w:t>六、关于济南</w:t>
      </w:r>
      <w:r>
        <w:rPr>
          <w:rFonts w:eastAsia="方正黑体_GBK" w:hint="eastAsia"/>
          <w:sz w:val="32"/>
          <w:szCs w:val="32"/>
          <w:lang w:eastAsia="zh-CN"/>
        </w:rPr>
        <w:t>邮局</w:t>
      </w:r>
      <w:r>
        <w:rPr>
          <w:rFonts w:eastAsia="方正黑体_GBK" w:hint="eastAsia"/>
          <w:sz w:val="32"/>
          <w:szCs w:val="32"/>
        </w:rPr>
        <w:t>海关202</w:t>
      </w:r>
      <w:r>
        <w:rPr>
          <w:rFonts w:eastAsia="方正黑体_GBK"/>
          <w:sz w:val="32"/>
          <w:szCs w:val="32"/>
        </w:rPr>
        <w:t>4</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年一般公共预算基本支出</w:t>
      </w:r>
      <w:r>
        <w:rPr>
          <w:rFonts w:ascii="Times New Roman" w:eastAsia="方正仿宋_GBK" w:hAnsi="Times New Roman" w:hint="eastAsia"/>
          <w:sz w:val="32"/>
          <w:szCs w:val="32"/>
          <w:lang w:val="en-US" w:eastAsia="zh-CN"/>
        </w:rPr>
        <w:t>557.04</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hint="eastAsia"/>
          <w:sz w:val="32"/>
          <w:szCs w:val="32"/>
          <w:lang w:val="en-US" w:eastAsia="zh-CN"/>
        </w:rPr>
        <w:t>437.51</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万元，主要包括：基本工资、津贴补贴、奖金、机关事业单位基本养老保险缴费、职业年金缴费、职工基本医疗保险缴费、公务员医疗补助缴费、住房公积金、其他对个人和家庭的补助；</w:t>
      </w:r>
    </w:p>
    <w:p>
      <w:pPr>
        <w:spacing w:line="560" w:lineRule="exact"/>
        <w:ind w:firstLineChars="200" w:firstLine="640"/>
        <w:rPr>
          <w:rFonts w:ascii="Times New Roman" w:eastAsia="方正仿宋_GBK" w:hAnsi="Times New Roman" w:hint="eastAsia"/>
          <w:sz w:val="32"/>
          <w:szCs w:val="32"/>
          <w:lang w:eastAsia="zh-CN"/>
        </w:rPr>
      </w:pPr>
      <w:r>
        <w:rPr>
          <w:rFonts w:ascii="Times New Roman" w:eastAsia="方正仿宋_GBK" w:hAnsi="Times New Roman" w:hint="eastAsia"/>
          <w:sz w:val="32"/>
          <w:szCs w:val="32"/>
        </w:rPr>
        <w:t>日常公用经费</w:t>
      </w:r>
      <w:r>
        <w:rPr>
          <w:rFonts w:ascii="Times New Roman" w:eastAsia="方正仿宋_GBK" w:hAnsi="Times New Roman" w:hint="eastAsia"/>
          <w:sz w:val="32"/>
          <w:szCs w:val="32"/>
          <w:lang w:val="en-US" w:eastAsia="zh-CN"/>
        </w:rPr>
        <w:t>119.53</w:t>
      </w:r>
      <w:r>
        <w:rPr>
          <w:rFonts w:ascii="Times New Roman" w:eastAsia="方正仿宋_GBK" w:hAnsi="Times New Roman" w:hint="eastAsia"/>
          <w:sz w:val="32"/>
          <w:szCs w:val="32"/>
        </w:rPr>
        <w:t>万元，主要包括：办公费、印刷费、水费、</w:t>
      </w:r>
      <w:r>
        <w:rPr>
          <w:rFonts w:ascii="Times New Roman" w:eastAsia="方正仿宋_GBK" w:hAnsi="Times New Roman" w:hint="eastAsia"/>
          <w:sz w:val="32"/>
          <w:szCs w:val="32"/>
          <w:lang w:eastAsia="zh-CN"/>
        </w:rPr>
        <w:t>邮电费、</w:t>
      </w:r>
      <w:r>
        <w:rPr>
          <w:rFonts w:ascii="Times New Roman" w:eastAsia="方正仿宋_GBK" w:hAnsi="Times New Roman" w:hint="eastAsia"/>
          <w:sz w:val="32"/>
          <w:szCs w:val="32"/>
        </w:rPr>
        <w:t>差旅费、维修（护）费、租赁费、公务接待费、劳务费、委托业务费、工会经费、福利费、其他交通费用、其他商品和服务支出</w:t>
      </w:r>
      <w:r>
        <w:rPr>
          <w:rFonts w:ascii="Times New Roman" w:eastAsia="方正仿宋_GBK" w:hAnsi="Times New Roman" w:hint="eastAsia"/>
          <w:sz w:val="32"/>
          <w:szCs w:val="32"/>
          <w:lang w:eastAsia="zh-CN"/>
        </w:rPr>
        <w:t>。</w:t>
      </w:r>
    </w:p>
    <w:p>
      <w:pPr>
        <w:pStyle w:val="20"/>
        <w:spacing w:line="560" w:lineRule="exact"/>
        <w:ind w:firstLineChars="200" w:firstLine="640"/>
        <w:rPr>
          <w:rFonts w:eastAsia="方正黑体_GBK"/>
          <w:sz w:val="32"/>
          <w:szCs w:val="32"/>
        </w:rPr>
      </w:pPr>
      <w:r>
        <w:rPr>
          <w:rFonts w:eastAsia="方正黑体_GBK" w:hint="eastAsia"/>
          <w:sz w:val="32"/>
          <w:szCs w:val="32"/>
        </w:rPr>
        <w:t>七、关于济南</w:t>
      </w:r>
      <w:r>
        <w:rPr>
          <w:rFonts w:eastAsia="方正黑体_GBK" w:hint="eastAsia"/>
          <w:sz w:val="32"/>
          <w:szCs w:val="32"/>
          <w:lang w:eastAsia="zh-CN"/>
        </w:rPr>
        <w:t>邮局</w:t>
      </w:r>
      <w:r>
        <w:rPr>
          <w:rFonts w:eastAsia="方正黑体_GBK" w:hint="eastAsia"/>
          <w:sz w:val="32"/>
          <w:szCs w:val="32"/>
        </w:rPr>
        <w:t>海关202</w:t>
      </w:r>
      <w:r>
        <w:rPr>
          <w:rFonts w:eastAsia="方正黑体_GBK"/>
          <w:sz w:val="32"/>
          <w:szCs w:val="32"/>
        </w:rPr>
        <w:t>4</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年“三公”经费预算数为</w:t>
      </w:r>
      <w:r>
        <w:rPr>
          <w:rFonts w:ascii="Times New Roman" w:eastAsia="方正仿宋_GBK" w:hAnsi="Times New Roman" w:hint="eastAsia"/>
          <w:sz w:val="32"/>
          <w:szCs w:val="32"/>
          <w:lang w:val="en-US" w:eastAsia="zh-CN"/>
        </w:rPr>
        <w:t>5.7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hint="eastAsia"/>
          <w:sz w:val="32"/>
          <w:szCs w:val="32"/>
          <w:lang w:eastAsia="zh-CN"/>
        </w:rPr>
        <w:t>增加</w:t>
      </w:r>
      <w:r>
        <w:rPr>
          <w:rFonts w:ascii="Times New Roman" w:eastAsia="方正仿宋_GBK" w:hAnsi="Times New Roman" w:hint="eastAsia"/>
          <w:sz w:val="32"/>
          <w:szCs w:val="32"/>
          <w:lang w:val="en-US" w:eastAsia="zh-CN"/>
        </w:rPr>
        <w:t>0.84</w:t>
      </w:r>
      <w:r>
        <w:rPr>
          <w:rFonts w:ascii="Times New Roman" w:eastAsia="方正仿宋_GBK" w:hAnsi="Times New Roman" w:hint="eastAsia"/>
          <w:sz w:val="32"/>
          <w:szCs w:val="32"/>
        </w:rPr>
        <w:t>万元。其中：因公出国（境）费0万元，与202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年预算数持平；公务用车购置费</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年预算数持平；公务用车运行费</w:t>
      </w:r>
      <w:r>
        <w:rPr>
          <w:rFonts w:ascii="Times New Roman" w:eastAsia="方正仿宋_GBK" w:hAnsi="Times New Roman" w:hint="eastAsia"/>
          <w:sz w:val="32"/>
          <w:szCs w:val="32"/>
          <w:lang w:val="en-US" w:eastAsia="zh-CN"/>
        </w:rPr>
        <w:t>5.6</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hint="eastAsia"/>
          <w:sz w:val="32"/>
          <w:szCs w:val="32"/>
          <w:lang w:eastAsia="zh-CN"/>
        </w:rPr>
        <w:t>增加</w:t>
      </w:r>
      <w:r>
        <w:rPr>
          <w:rFonts w:ascii="Times New Roman" w:eastAsia="方正仿宋_GBK" w:hAnsi="Times New Roman" w:hint="eastAsia"/>
          <w:sz w:val="32"/>
          <w:szCs w:val="32"/>
          <w:lang w:val="en-US" w:eastAsia="zh-CN"/>
        </w:rPr>
        <w:t>0.84</w:t>
      </w:r>
      <w:r>
        <w:rPr>
          <w:rFonts w:ascii="Times New Roman" w:eastAsia="方正仿宋_GBK" w:hAnsi="Times New Roman"/>
          <w:sz w:val="32"/>
          <w:szCs w:val="32"/>
        </w:rPr>
        <w:t>万元</w:t>
      </w:r>
      <w:r>
        <w:rPr>
          <w:rFonts w:ascii="Times New Roman" w:eastAsia="方正仿宋_GBK" w:hAnsi="Times New Roman" w:hint="eastAsia"/>
          <w:sz w:val="32"/>
          <w:szCs w:val="32"/>
        </w:rPr>
        <w:t>；公务接待费</w:t>
      </w:r>
      <w:r>
        <w:rPr>
          <w:rFonts w:ascii="Times New Roman" w:eastAsia="方正仿宋_GBK" w:hAnsi="Times New Roman" w:hint="eastAsia"/>
          <w:sz w:val="32"/>
          <w:szCs w:val="32"/>
          <w:lang w:val="en-US" w:eastAsia="zh-CN"/>
        </w:rPr>
        <w:t>0.1</w:t>
      </w:r>
      <w:r>
        <w:rPr>
          <w:rFonts w:ascii="Times New Roman" w:eastAsia="方正仿宋_GBK" w:hAnsi="Times New Roman" w:hint="eastAsia"/>
          <w:sz w:val="32"/>
          <w:szCs w:val="32"/>
        </w:rPr>
        <w:t>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w:t>
      </w:r>
    </w:p>
    <w:p>
      <w:pPr>
        <w:pStyle w:val="20"/>
        <w:spacing w:line="560" w:lineRule="exact"/>
        <w:ind w:firstLineChars="200" w:firstLine="640"/>
        <w:rPr>
          <w:rFonts w:eastAsia="方正黑体_GBK"/>
          <w:sz w:val="32"/>
          <w:szCs w:val="32"/>
        </w:rPr>
      </w:pPr>
      <w:r>
        <w:rPr>
          <w:rFonts w:eastAsia="方正黑体_GBK" w:hint="eastAsia"/>
          <w:sz w:val="32"/>
          <w:szCs w:val="32"/>
        </w:rPr>
        <w:t>八、关于济</w:t>
      </w:r>
      <w:r>
        <w:rPr>
          <w:rFonts w:eastAsia="方正黑体_GBK" w:hint="eastAsia"/>
          <w:sz w:val="32"/>
          <w:szCs w:val="32"/>
          <w:lang w:eastAsia="zh-CN"/>
        </w:rPr>
        <w:t>南邮局</w:t>
      </w:r>
      <w:r>
        <w:rPr>
          <w:rFonts w:eastAsia="方正黑体_GBK" w:hint="eastAsia"/>
          <w:sz w:val="32"/>
          <w:szCs w:val="32"/>
        </w:rPr>
        <w:t>海关202</w:t>
      </w:r>
      <w:r>
        <w:rPr>
          <w:rFonts w:eastAsia="方正黑体_GBK"/>
          <w:sz w:val="32"/>
          <w:szCs w:val="32"/>
        </w:rPr>
        <w:t>4</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年无政府性基金预算收支。</w:t>
      </w:r>
    </w:p>
    <w:p>
      <w:pPr>
        <w:pStyle w:val="20"/>
        <w:spacing w:line="560" w:lineRule="exact"/>
        <w:ind w:firstLineChars="200" w:firstLine="640"/>
        <w:rPr>
          <w:rFonts w:eastAsia="方正黑体_GBK"/>
          <w:sz w:val="32"/>
          <w:szCs w:val="32"/>
        </w:rPr>
      </w:pPr>
      <w:r>
        <w:rPr>
          <w:rFonts w:eastAsia="方正黑体_GBK" w:hint="eastAsia"/>
          <w:sz w:val="32"/>
          <w:szCs w:val="32"/>
        </w:rPr>
        <w:t>九、关于济南</w:t>
      </w:r>
      <w:r>
        <w:rPr>
          <w:rFonts w:eastAsia="方正黑体_GBK" w:hint="eastAsia"/>
          <w:sz w:val="32"/>
          <w:szCs w:val="32"/>
          <w:lang w:eastAsia="zh-CN"/>
        </w:rPr>
        <w:t>邮局</w:t>
      </w:r>
      <w:r>
        <w:rPr>
          <w:rFonts w:eastAsia="方正黑体_GBK" w:hint="eastAsia"/>
          <w:sz w:val="32"/>
          <w:szCs w:val="32"/>
        </w:rPr>
        <w:t>海关202</w:t>
      </w:r>
      <w:r>
        <w:rPr>
          <w:rFonts w:eastAsia="方正黑体_GBK"/>
          <w:sz w:val="32"/>
          <w:szCs w:val="32"/>
        </w:rPr>
        <w:t>4</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年无国有资本经营预算收支。</w:t>
      </w:r>
    </w:p>
    <w:p>
      <w:pPr>
        <w:pStyle w:val="2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年济南</w:t>
      </w:r>
      <w:r>
        <w:rPr>
          <w:rFonts w:ascii="Times New Roman" w:eastAsia="方正仿宋_GBK" w:hAnsi="Times New Roman" w:hint="eastAsia"/>
          <w:sz w:val="32"/>
          <w:szCs w:val="32"/>
          <w:lang w:eastAsia="zh-CN"/>
        </w:rPr>
        <w:t>邮局</w:t>
      </w:r>
      <w:r>
        <w:rPr>
          <w:rFonts w:ascii="Times New Roman" w:eastAsia="方正仿宋_GBK" w:hAnsi="Times New Roman" w:hint="eastAsia"/>
          <w:sz w:val="32"/>
          <w:szCs w:val="32"/>
        </w:rPr>
        <w:t>海关机关运行经费财政拨款预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hint="eastAsia"/>
          <w:color w:val="000000"/>
          <w:sz w:val="32"/>
          <w:szCs w:val="32"/>
          <w:lang w:val="en-US" w:eastAsia="zh-CN"/>
        </w:rPr>
        <w:t>119.53</w:t>
      </w:r>
      <w:r>
        <w:rPr>
          <w:rFonts w:ascii="Times New Roman" w:eastAsia="方正仿宋_GBK" w:hAnsi="Times New Roman" w:hint="eastAsia"/>
          <w:sz w:val="32"/>
          <w:szCs w:val="32"/>
        </w:rPr>
        <w:t>万元，较202</w:t>
      </w:r>
      <w:r>
        <w:rPr>
          <w:rFonts w:ascii="Times New Roman" w:eastAsia="方正仿宋_GBK" w:hAnsi="Times New Roman"/>
          <w:sz w:val="32"/>
          <w:szCs w:val="32"/>
        </w:rPr>
        <w:t>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w:t>
      </w:r>
      <w:r>
        <w:rPr>
          <w:rFonts w:ascii="Times New Roman" w:eastAsia="方正仿宋_GBK" w:hAnsi="Times New Roman" w:hint="eastAsia"/>
          <w:color w:val="000000"/>
          <w:sz w:val="32"/>
          <w:szCs w:val="32"/>
          <w:lang w:val="en-US" w:eastAsia="zh-CN"/>
        </w:rPr>
        <w:t>6.15</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w:t>
      </w:r>
      <w:r>
        <w:rPr>
          <w:rFonts w:ascii="Times New Roman" w:eastAsia="方正仿宋_GBK" w:hAnsi="Times New Roman" w:hint="eastAsia"/>
          <w:color w:val="000000"/>
          <w:sz w:val="32"/>
          <w:szCs w:val="32"/>
          <w:lang w:val="en-US" w:eastAsia="zh-CN"/>
        </w:rPr>
        <w:t>5.42</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hint="eastAsia"/>
          <w:sz w:val="32"/>
          <w:szCs w:val="32"/>
          <w:lang w:eastAsia="zh-CN"/>
        </w:rPr>
        <w:t>我关人员</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highlight w:val="auto"/>
        </w:rPr>
      </w:pPr>
      <w:r>
        <w:rPr>
          <w:rFonts w:ascii="Times New Roman" w:eastAsia="方正楷体_GBK" w:hAnsi="Times New Roman" w:hint="eastAsia"/>
          <w:b/>
          <w:bCs/>
          <w:sz w:val="32"/>
          <w:szCs w:val="32"/>
        </w:rPr>
        <w:t>（</w:t>
      </w:r>
      <w:r>
        <w:rPr>
          <w:rFonts w:ascii="Times New Roman" w:eastAsia="方正楷体_GBK" w:hAnsi="Times New Roman" w:hint="eastAsia"/>
          <w:b/>
          <w:bCs/>
          <w:sz w:val="32"/>
          <w:szCs w:val="32"/>
          <w:highlight w:val="auto"/>
        </w:rPr>
        <w:t>二）政府采购情况。</w:t>
      </w:r>
    </w:p>
    <w:p>
      <w:pPr>
        <w:spacing w:line="560" w:lineRule="exact"/>
        <w:ind w:firstLineChars="200" w:firstLine="640"/>
        <w:rPr>
          <w:rFonts w:ascii="Times New Roman" w:eastAsia="方正仿宋_GBK" w:hAnsi="Times New Roman" w:hint="eastAsia"/>
          <w:sz w:val="32"/>
          <w:szCs w:val="32"/>
          <w:lang w:eastAsia="zh-CN"/>
          <w:highlight w:val="auto"/>
        </w:rPr>
      </w:pPr>
      <w:r>
        <w:rPr>
          <w:rFonts w:ascii="Times New Roman" w:eastAsia="方正仿宋_GBK" w:hAnsi="Times New Roman" w:hint="eastAsia"/>
          <w:sz w:val="32"/>
          <w:szCs w:val="32"/>
          <w:highlight w:val="auto"/>
        </w:rPr>
        <w:t>202</w:t>
      </w:r>
      <w:r>
        <w:rPr>
          <w:rFonts w:ascii="Times New Roman" w:eastAsia="方正仿宋_GBK" w:hAnsi="Times New Roman"/>
          <w:sz w:val="32"/>
          <w:szCs w:val="32"/>
          <w:highlight w:val="auto"/>
        </w:rPr>
        <w:t>4</w:t>
      </w:r>
      <w:r>
        <w:rPr>
          <w:rFonts w:ascii="Times New Roman" w:eastAsia="方正仿宋_GBK" w:hAnsi="Times New Roman" w:hint="eastAsia"/>
          <w:sz w:val="32"/>
          <w:szCs w:val="32"/>
          <w:highlight w:val="auto"/>
        </w:rPr>
        <w:t>年济南</w:t>
      </w:r>
      <w:r>
        <w:rPr>
          <w:rFonts w:ascii="Times New Roman" w:eastAsia="方正仿宋_GBK" w:hAnsi="Times New Roman" w:hint="eastAsia"/>
          <w:sz w:val="32"/>
          <w:szCs w:val="32"/>
          <w:lang w:eastAsia="zh-CN"/>
          <w:highlight w:val="auto"/>
        </w:rPr>
        <w:t>邮局</w:t>
      </w:r>
      <w:r>
        <w:rPr>
          <w:rFonts w:ascii="Times New Roman" w:eastAsia="方正仿宋_GBK" w:hAnsi="Times New Roman" w:hint="eastAsia"/>
          <w:sz w:val="32"/>
          <w:szCs w:val="32"/>
          <w:highlight w:val="auto"/>
        </w:rPr>
        <w:t>海关政府采购预算总额</w:t>
      </w:r>
      <w:r>
        <w:rPr>
          <w:rFonts w:ascii="Times New Roman" w:eastAsia="方正仿宋_GBK" w:hAnsi="Times New Roman" w:hint="eastAsia"/>
          <w:sz w:val="32"/>
          <w:szCs w:val="32"/>
          <w:lang w:val="en-US" w:eastAsia="zh-CN"/>
          <w:highlight w:val="auto"/>
        </w:rPr>
        <w:t>5.5</w:t>
      </w:r>
      <w:r>
        <w:rPr>
          <w:rFonts w:ascii="Times New Roman" w:eastAsia="方正仿宋_GBK" w:hAnsi="Times New Roman" w:hint="eastAsia"/>
          <w:sz w:val="32"/>
          <w:szCs w:val="32"/>
          <w:highlight w:val="auto"/>
        </w:rPr>
        <w:t>万元，其中：政府采购货物预算</w:t>
      </w:r>
      <w:r>
        <w:rPr>
          <w:rFonts w:ascii="Times New Roman" w:eastAsia="方正仿宋_GBK" w:hAnsi="Times New Roman" w:hint="eastAsia"/>
          <w:sz w:val="32"/>
          <w:szCs w:val="32"/>
          <w:lang w:val="en-US" w:eastAsia="zh-CN"/>
          <w:highlight w:val="auto"/>
        </w:rPr>
        <w:t>5.5</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w:t>
      </w:r>
    </w:p>
    <w:p>
      <w:pPr>
        <w:spacing w:line="560" w:lineRule="exact"/>
        <w:ind w:firstLineChars="200" w:firstLine="640"/>
        <w:jc w:val="left"/>
        <w:rPr>
          <w:rFonts w:ascii="Times New Roman" w:eastAsia="方正楷体_GBK" w:hAnsi="Times New Roman"/>
          <w:b/>
          <w:bCs/>
          <w:sz w:val="32"/>
          <w:szCs w:val="32"/>
          <w:highlight w:val="auto"/>
        </w:rPr>
      </w:pPr>
      <w:r>
        <w:rPr>
          <w:rFonts w:ascii="Times New Roman" w:eastAsia="方正楷体_GBK" w:hAnsi="Times New Roman" w:hint="eastAsia"/>
          <w:b/>
          <w:bCs/>
          <w:sz w:val="32"/>
          <w:szCs w:val="32"/>
        </w:rPr>
        <w:t>（</w:t>
      </w:r>
      <w:r>
        <w:rPr>
          <w:rFonts w:ascii="Times New Roman" w:eastAsia="方正楷体_GBK" w:hAnsi="Times New Roman" w:hint="eastAsia"/>
          <w:b/>
          <w:bCs/>
          <w:sz w:val="32"/>
          <w:szCs w:val="32"/>
          <w:highlight w:val="auto"/>
        </w:rPr>
        <w:t>三）国有资产占有使用情况。</w:t>
      </w:r>
    </w:p>
    <w:p>
      <w:pPr>
        <w:pStyle w:val="106"/>
        <w:spacing w:line="560" w:lineRule="exact"/>
        <w:ind w:firstLineChars="200" w:firstLine="640"/>
        <w:rPr>
          <w:rFonts w:ascii="Times New Roman" w:eastAsia="方正仿宋_GBK" w:hAnsi="Times New Roman" w:hint="eastAsia"/>
          <w:sz w:val="32"/>
          <w:szCs w:val="32"/>
          <w:lang w:eastAsia="zh-CN"/>
          <w:highlight w:val="auto"/>
        </w:rPr>
      </w:pPr>
      <w:r>
        <w:rPr>
          <w:rFonts w:ascii="Times New Roman" w:eastAsia="方正仿宋_GBK" w:hAnsi="Times New Roman"/>
          <w:color w:val="000000"/>
          <w:sz w:val="32"/>
          <w:szCs w:val="32"/>
          <w:highlight w:val="auto"/>
        </w:rPr>
        <w:t>截至202</w:t>
      </w:r>
      <w:r>
        <w:rPr>
          <w:rFonts w:ascii="Times New Roman" w:eastAsia="方正仿宋_GBK" w:hAnsi="Times New Roman" w:hint="eastAsia"/>
          <w:color w:val="000000"/>
          <w:sz w:val="32"/>
          <w:szCs w:val="32"/>
          <w:lang w:val="en-US" w:eastAsia="zh-CN"/>
          <w:highlight w:val="auto"/>
        </w:rPr>
        <w:t>3</w:t>
      </w:r>
      <w:r>
        <w:rPr>
          <w:rFonts w:ascii="Times New Roman" w:eastAsia="方正仿宋_GBK" w:hAnsi="Times New Roman"/>
          <w:color w:val="000000"/>
          <w:sz w:val="32"/>
          <w:szCs w:val="32"/>
          <w:highlight w:val="auto"/>
        </w:rPr>
        <w:t>年</w:t>
      </w:r>
      <w:r>
        <w:rPr>
          <w:rFonts w:ascii="Times New Roman" w:eastAsia="方正仿宋_GBK" w:hAnsi="Times New Roman" w:hint="eastAsia"/>
          <w:color w:val="000000"/>
          <w:sz w:val="32"/>
          <w:szCs w:val="32"/>
          <w:lang w:val="en-US" w:eastAsia="zh-CN"/>
          <w:highlight w:val="auto"/>
        </w:rPr>
        <w:t>8</w:t>
      </w:r>
      <w:r>
        <w:rPr>
          <w:rFonts w:ascii="Times New Roman" w:eastAsia="方正仿宋_GBK" w:hAnsi="Times New Roman"/>
          <w:color w:val="000000"/>
          <w:sz w:val="32"/>
          <w:szCs w:val="32"/>
          <w:highlight w:val="auto"/>
        </w:rPr>
        <w:t>月31日，济南</w:t>
      </w:r>
      <w:r>
        <w:rPr>
          <w:rFonts w:ascii="Times New Roman" w:eastAsia="方正仿宋_GBK" w:hAnsi="Times New Roman" w:hint="eastAsia"/>
          <w:color w:val="000000"/>
          <w:sz w:val="32"/>
          <w:szCs w:val="32"/>
          <w:lang w:eastAsia="zh-CN"/>
          <w:highlight w:val="auto"/>
        </w:rPr>
        <w:t>邮局</w:t>
      </w:r>
      <w:r>
        <w:rPr>
          <w:rFonts w:ascii="Times New Roman" w:eastAsia="方正仿宋_GBK" w:hAnsi="Times New Roman"/>
          <w:color w:val="000000"/>
          <w:sz w:val="32"/>
          <w:szCs w:val="32"/>
          <w:highlight w:val="auto"/>
        </w:rPr>
        <w:t>海关</w:t>
      </w:r>
      <w:r>
        <w:rPr>
          <w:rFonts w:eastAsia="方正仿宋_GBK" w:hint="eastAsia"/>
          <w:color w:val="000000"/>
          <w:sz w:val="32"/>
          <w:szCs w:val="32"/>
          <w:highlight w:val="auto"/>
        </w:rPr>
        <w:t>单位价值</w:t>
      </w:r>
      <w:r>
        <w:rPr>
          <w:rFonts w:eastAsia="方正仿宋_GBK" w:hint="eastAsia"/>
          <w:color w:val="000000"/>
          <w:sz w:val="32"/>
          <w:szCs w:val="32"/>
          <w:lang w:val="en-US" w:eastAsia="zh-CN"/>
          <w:highlight w:val="auto"/>
        </w:rPr>
        <w:t>100</w:t>
      </w:r>
      <w:r>
        <w:rPr>
          <w:rFonts w:eastAsia="方正仿宋_GBK" w:hint="eastAsia"/>
          <w:color w:val="000000"/>
          <w:sz w:val="32"/>
          <w:szCs w:val="32"/>
          <w:highlight w:val="auto"/>
        </w:rPr>
        <w:t>万元以上的设备</w:t>
      </w:r>
      <w:r>
        <w:rPr>
          <w:rFonts w:eastAsia="方正仿宋_GBK" w:hint="eastAsia"/>
          <w:color w:val="000000"/>
          <w:sz w:val="32"/>
          <w:szCs w:val="32"/>
          <w:lang w:val="en-US" w:eastAsia="zh-CN"/>
          <w:highlight w:val="auto"/>
        </w:rPr>
        <w:t>2</w:t>
      </w:r>
      <w:r>
        <w:rPr>
          <w:rFonts w:eastAsia="方正仿宋_GBK" w:hint="eastAsia"/>
          <w:color w:val="000000"/>
          <w:sz w:val="32"/>
          <w:szCs w:val="32"/>
          <w:highlight w:val="auto"/>
        </w:rPr>
        <w:t>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pStyle w:val="107"/>
        <w:spacing w:line="560" w:lineRule="exact"/>
        <w:ind w:firstLineChars="200" w:firstLine="640"/>
        <w:rPr>
          <w:rFonts w:eastAsia="方正仿宋_GBK"/>
          <w:color w:val="000000"/>
          <w:sz w:val="32"/>
          <w:szCs w:val="32"/>
          <w:highlight w:val="auto"/>
        </w:rPr>
      </w:pP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highlight w:val="auto"/>
        </w:rPr>
        <w:t>年对一般公共预算拨款项目全面实施绩效目标管理，</w:t>
      </w:r>
      <w:r>
        <w:rPr>
          <w:rFonts w:eastAsia="方正仿宋_GBK" w:hint="eastAsia"/>
          <w:color w:val="000000"/>
          <w:sz w:val="32"/>
          <w:szCs w:val="32"/>
          <w:highlight w:val="auto"/>
        </w:rPr>
        <w:t>涉及一般公共预算当年拨款</w:t>
      </w:r>
      <w:r>
        <w:rPr>
          <w:rFonts w:eastAsia="方正仿宋_GBK" w:hint="eastAsia"/>
          <w:color w:val="000000"/>
          <w:sz w:val="32"/>
          <w:szCs w:val="32"/>
          <w:lang w:val="en-US" w:eastAsia="zh-CN"/>
          <w:highlight w:val="auto"/>
        </w:rPr>
        <w:t>14.27</w:t>
      </w:r>
      <w:r>
        <w:rPr>
          <w:rFonts w:eastAsia="方正仿宋_GBK" w:hint="eastAsia"/>
          <w:color w:val="000000"/>
          <w:sz w:val="32"/>
          <w:szCs w:val="32"/>
          <w:highlight w:val="auto"/>
        </w:rPr>
        <w:t>万元，二级项目</w:t>
      </w:r>
      <w:r>
        <w:rPr>
          <w:rFonts w:eastAsia="方正仿宋_GBK" w:hint="eastAsia"/>
          <w:color w:val="000000"/>
          <w:sz w:val="32"/>
          <w:szCs w:val="32"/>
          <w:lang w:val="en-US" w:eastAsia="zh-CN"/>
          <w:highlight w:val="auto"/>
        </w:rPr>
        <w:t>2</w:t>
      </w:r>
      <w:r>
        <w:rPr>
          <w:rFonts w:eastAsia="方正仿宋_GBK" w:hint="eastAsia"/>
          <w:color w:val="000000"/>
          <w:sz w:val="32"/>
          <w:szCs w:val="32"/>
          <w:highlight w:val="auto"/>
        </w:rPr>
        <w:t>个。</w:t>
      </w:r>
      <w:r>
        <w:rPr>
          <w:rFonts w:eastAsia="方正仿宋_GBK" w:hint="eastAsia"/>
          <w:sz w:val="32"/>
          <w:szCs w:val="32"/>
        </w:rPr>
        <w:t>在202</w:t>
      </w:r>
      <w:r>
        <w:rPr>
          <w:rFonts w:eastAsia="方正仿宋_GBK" w:hint="eastAsia"/>
          <w:sz w:val="32"/>
          <w:szCs w:val="32"/>
          <w:lang w:val="en-US" w:eastAsia="zh-CN"/>
        </w:rPr>
        <w:t>4</w:t>
      </w:r>
      <w:r>
        <w:rPr>
          <w:rFonts w:eastAsia="方正仿宋_GBK" w:hint="eastAsia"/>
          <w:sz w:val="32"/>
          <w:szCs w:val="32"/>
        </w:rPr>
        <w:t>年度部门预算中反映</w:t>
      </w:r>
      <w:r>
        <w:rPr>
          <w:rFonts w:eastAsia="方正仿宋_GBK" w:hint="eastAsia"/>
          <w:sz w:val="32"/>
          <w:szCs w:val="32"/>
          <w:lang w:eastAsia="zh-CN"/>
        </w:rPr>
        <w:t>国门生物安全</w:t>
      </w:r>
      <w:r>
        <w:rPr>
          <w:rFonts w:eastAsia="方正仿宋_GBK" w:hint="eastAsia"/>
          <w:sz w:val="32"/>
          <w:szCs w:val="32"/>
        </w:rPr>
        <w:t>等</w:t>
      </w:r>
      <w:r>
        <w:rPr>
          <w:rFonts w:eastAsia="方正仿宋_GBK" w:hint="eastAsia"/>
          <w:sz w:val="32"/>
          <w:szCs w:val="32"/>
          <w:lang w:val="en-US" w:eastAsia="zh-CN"/>
        </w:rPr>
        <w:t>2</w:t>
      </w:r>
      <w:r>
        <w:rPr>
          <w:rFonts w:eastAsia="方正仿宋_GBK" w:hint="eastAsia"/>
          <w:sz w:val="32"/>
          <w:szCs w:val="32"/>
        </w:rPr>
        <w:t>个二级项目绩效目标表，见“第五部分 附件”。</w:t>
      </w:r>
    </w:p>
    <w:p>
      <w:pPr>
        <w:pStyle w:val="32"/>
        <w:spacing w:line="560" w:lineRule="exact"/>
        <w:ind w:firstLineChars="200" w:firstLine="640"/>
      </w:pPr>
      <w:r>
        <w:t>济南</w:t>
      </w:r>
      <w:r>
        <w:rPr>
          <w:rFonts w:hint="eastAsia"/>
          <w:lang w:eastAsia="zh-CN"/>
        </w:rPr>
        <w:t>邮局</w:t>
      </w:r>
      <w:r>
        <w:t>海关一般公共预算二级项目绩效目标表</w:t>
      </w:r>
      <w:r>
        <w:rPr>
          <w:rFonts w:hint="eastAsia"/>
          <w:lang w:eastAsia="zh-CN"/>
        </w:rPr>
        <w:t>按</w:t>
      </w:r>
      <w:r>
        <w:t>规定向社会公开。</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sectPr>
          <w:pgSz w:w="11906" w:h="16838"/>
          <w:pgMar w:top="1440" w:right="1800" w:bottom="1440" w:left="1800" w:header="851" w:footer="992" w:gutter="0"/>
          <w:titlePg/>
          <w:docGrid w:type="lines" w:linePitch="312" w:charSpace="0"/>
        </w:sect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Times New Roman" w:eastAsia="方正仿宋_GBK" w:hAnsi="Times New Roman"/>
          <w:sz w:val="32"/>
          <w:szCs w:val="32"/>
        </w:rPr>
        <w:t>。</w:t>
      </w:r>
    </w:p>
    <w:p>
      <w:pPr>
        <w:pStyle w:val="108"/>
        <w:rPr>
          <w:b/>
          <w:sz w:val="84"/>
          <w:szCs w:val="84"/>
        </w:rPr>
      </w:pPr>
    </w:p>
    <w:p>
      <w:pPr>
        <w:pStyle w:val="108"/>
        <w:jc w:val="center"/>
        <w:rPr>
          <w:b/>
          <w:sz w:val="84"/>
          <w:szCs w:val="84"/>
          <w:highlight w:val="yellow"/>
        </w:rPr>
      </w:pPr>
      <w:r>
        <w:rPr>
          <w:rFonts w:hint="eastAsia"/>
          <w:b/>
          <w:sz w:val="84"/>
          <w:szCs w:val="84"/>
          <w:highlight w:val="yellow"/>
        </w:rPr>
        <w:t>第五部分</w:t>
      </w:r>
    </w:p>
    <w:p>
      <w:pPr>
        <w:pStyle w:val="108"/>
        <w:jc w:val="center"/>
        <w:rPr>
          <w:b/>
          <w:sz w:val="84"/>
          <w:szCs w:val="84"/>
          <w:highlight w:val="yellow"/>
        </w:rPr>
      </w:pPr>
      <w:r>
        <w:rPr>
          <w:rFonts w:hint="eastAsia"/>
          <w:b/>
          <w:sz w:val="84"/>
          <w:szCs w:val="84"/>
          <w:highlight w:val="yellow"/>
        </w:rPr>
        <w:t>附件</w:t>
      </w:r>
    </w:p>
    <w:p>
      <w:pPr>
        <w:keepNext w:val="0"/>
        <w:widowControl w:val="0"/>
        <w:jc w:val="left"/>
        <w:rPr>
          <w:rFonts w:ascii="Times New Roman" w:eastAsia="方正仿宋_GBK" w:hAnsi="Times New Roman"/>
          <w:sz w:val="32"/>
          <w:szCs w:val="32"/>
        </w:rPr>
        <w:sectPr>
          <w:pgSz w:w="11906" w:h="16838"/>
          <w:pgMar w:top="1800" w:right="1440" w:bottom="1800" w:left="1440" w:header="851" w:footer="992" w:gutter="0"/>
          <w:docGrid w:type="lines" w:linePitch="312" w:charSpace="0"/>
        </w:sectPr>
      </w:pPr>
    </w:p>
    <w:tbl>
      <w:tblPr>
        <w:jc w:val="left"/>
        <w:tblInd w:w="93" w:type="dxa"/>
        <w:tblW w:w="1084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5"/>
        <w:gridCol w:w="1275"/>
        <w:gridCol w:w="2235"/>
        <w:gridCol w:w="1035"/>
        <w:gridCol w:w="2235"/>
        <w:gridCol w:w="2235"/>
        <w:gridCol w:w="1275"/>
      </w:tblGrid>
      <w:tr>
        <w:trPr>
          <w:trHeight w:val="700"/>
        </w:trPr>
        <w:tc>
          <w:tcPr>
            <w:tcW w:w="10845"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项目绩效目标表</w:t>
            </w:r>
          </w:p>
        </w:tc>
      </w:tr>
      <w:tr>
        <w:trPr>
          <w:trHeight w:val="500"/>
        </w:trPr>
        <w:tc>
          <w:tcPr>
            <w:tcW w:w="10845"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（2024年度）</w:t>
            </w:r>
          </w:p>
        </w:tc>
      </w:tr>
      <w:tr>
        <w:trPr>
          <w:trHeight w:val="440"/>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901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国门生物安全专项</w:t>
            </w:r>
          </w:p>
        </w:tc>
      </w:tr>
      <w:tr>
        <w:trPr>
          <w:trHeight w:val="440"/>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3270"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5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中华人民共和国济南邮局海关</w:t>
            </w:r>
          </w:p>
        </w:tc>
      </w:tr>
      <w:tr>
        <w:trPr>
          <w:trHeight w:val="440"/>
        </w:trPr>
        <w:tc>
          <w:tcPr>
            <w:tcW w:w="18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2.50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分值（10）</w:t>
            </w: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其中：财政拨款</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2.50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上年结转</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其他资金</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0"/>
        </w:trPr>
        <w:tc>
          <w:tcPr>
            <w:tcW w:w="555"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1029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贯彻落实习近平总书记关于国门生物安全的重要指示精神，通过开展普法宣传、外出学习、购置口岸动植检应急物资储备物品、检疫除害处理和口岸截留销毁处理等工作，提升济南邮局海关一线监管效能，确保济南邮递口岸生物安全。</w:t>
            </w:r>
          </w:p>
        </w:tc>
      </w:tr>
      <w:tr>
        <w:trPr>
          <w:trHeight w:val="600"/>
        </w:trPr>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分值权重</w:t>
              <w:br/>
              <w:t>（90）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国门生物安全宣传</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≥1次</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保障济南邮局海关监管现场</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≥1个</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外来有害生物监测计划完成率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提升把守国门生物安全综合能力</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提升</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30</w:t>
            </w:r>
          </w:p>
        </w:tc>
      </w:tr>
      <w:tr>
        <w:trPr>
          <w:trHeight w:val="875"/>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参训人员满意度</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r>
        <w:trPr>
          <w:trHeight w:val="700"/>
        </w:trPr>
        <w:tc>
          <w:tcPr>
            <w:tcW w:w="10845"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bdr w:val="none" w:sz="0" w:space="0" w:color="auto"/>
                <w:lang w:val="en-US" w:eastAsia="zh-CN"/>
              </w:rPr>
              <w:t>项目绩效目标表</w:t>
            </w:r>
          </w:p>
        </w:tc>
      </w:tr>
      <w:tr>
        <w:trPr>
          <w:trHeight w:val="500"/>
        </w:trPr>
        <w:tc>
          <w:tcPr>
            <w:tcW w:w="10845" w:type="dxa"/>
            <w:gridSpan w:val="7"/>
            <w:tcBorders>
              <w:top w:val="nil"/>
              <w:left w:val="nil"/>
              <w:bottom w:val="nil"/>
              <w:right w:val="nil"/>
            </w:tcBorders>
            <w:shd w:val="clear" w:color="auto" w:fill="auto"/>
            <w:noWrap/>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bdr w:val="none" w:sz="0" w:space="0" w:color="auto"/>
                <w:lang w:val="en-US" w:eastAsia="zh-CN"/>
              </w:rPr>
              <w:t>（2024年度）</w:t>
            </w:r>
          </w:p>
        </w:tc>
      </w:tr>
      <w:tr>
        <w:trPr>
          <w:trHeight w:val="440"/>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项目名称</w:t>
            </w:r>
          </w:p>
        </w:tc>
        <w:tc>
          <w:tcPr>
            <w:tcW w:w="901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海关业务保障及能力提升专项</w:t>
            </w:r>
          </w:p>
        </w:tc>
      </w:tr>
      <w:tr>
        <w:trPr>
          <w:trHeight w:val="440"/>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主管部门及代码</w:t>
            </w:r>
          </w:p>
        </w:tc>
        <w:tc>
          <w:tcPr>
            <w:tcW w:w="3270"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[167]海关总署</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实施单位</w:t>
            </w:r>
          </w:p>
        </w:tc>
        <w:tc>
          <w:tcPr>
            <w:tcW w:w="35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中华人民共和国济南邮局海关</w:t>
            </w:r>
          </w:p>
        </w:tc>
      </w:tr>
      <w:tr>
        <w:trPr>
          <w:trHeight w:val="440"/>
        </w:trPr>
        <w:tc>
          <w:tcPr>
            <w:tcW w:w="18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项目资金</w:t>
              <w:br/>
              <w:t>（万元）</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年度资金总额：</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11.77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执行率</w:t>
              <w:br/>
              <w:t>分值（10）</w:t>
            </w: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其中：财政拨款</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11.77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上年结转</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440"/>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其他资金</w:t>
            </w:r>
          </w:p>
        </w:tc>
        <w:tc>
          <w:tcPr>
            <w:tcW w:w="4470" w:type="dxa"/>
            <w:gridSpan w:val="2"/>
            <w:tcBorders>
              <w:top w:val="single" w:sz="4" w:space="0" w:color="000000"/>
              <w:left w:val="nil"/>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 xml:space="preserve"> -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1780"/>
        </w:trPr>
        <w:tc>
          <w:tcPr>
            <w:tcW w:w="555"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年</w:t>
              <w:br/>
              <w:t>度</w:t>
              <w:br/>
              <w:t>总</w:t>
              <w:br/>
              <w:t>体</w:t>
              <w:br/>
              <w:t>目</w:t>
              <w:br/>
              <w:t>标</w:t>
            </w:r>
          </w:p>
        </w:tc>
        <w:tc>
          <w:tcPr>
            <w:tcW w:w="1029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有效保障济南邮局海关执法执勤车辆运行，做到关警员满意。</w:t>
            </w:r>
          </w:p>
        </w:tc>
      </w:tr>
      <w:tr>
        <w:trPr>
          <w:trHeight w:val="600"/>
        </w:trPr>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绩</w:t>
              <w:br/>
              <w:t>效</w:t>
              <w:br/>
              <w:t>指</w:t>
              <w:br/>
              <w:t>标</w:t>
            </w: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一级指标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二级指标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三级指标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指标值</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分值权重</w:t>
              <w:br/>
              <w:t>（90）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成本指标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经济成本指标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平均每辆车维修成本</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≤2.8万元</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产出指标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数量指标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运维车辆数量</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≥2辆</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质量指标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车辆安全运行率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效益指标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社会效益指标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车辆是否平稳运行</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是</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20</w:t>
            </w:r>
          </w:p>
        </w:tc>
      </w:tr>
      <w:tr>
        <w:trPr>
          <w:trHeight w:val="440"/>
        </w:trPr>
        <w:tc>
          <w:tcPr>
            <w:tcW w:w="55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5"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满意度</w:t>
              <w:br/>
              <w:t>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服务对象</w:t>
              <w:br/>
              <w:t>满意度指标</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执法执勤关员满意度</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bdr w:val="none" w:sz="0" w:space="0" w:color="auto"/>
                <w:lang w:val="en-US" w:eastAsia="zh-CN"/>
              </w:rPr>
              <w:t>10</w:t>
            </w:r>
          </w:p>
        </w:tc>
      </w:tr>
    </w:tbl>
    <w:p>
      <w:pPr>
        <w:keepNext w:val="0"/>
        <w:widowControl w:val="0"/>
        <w:jc w:val="left"/>
        <w:rPr>
          <w:rFonts w:ascii="Times New Roman" w:eastAsia="方正仿宋_GBK" w:hAnsi="Times New Roman"/>
          <w:sz w:val="32"/>
          <w:szCs w:val="32"/>
        </w:rPr>
      </w:pPr>
    </w:p>
    <w:sectPr>
      <w:pgSz w:w="16838" w:h="11906" w:orient="landscape"/>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script"/>
    <w:pitch w:val="variable"/>
    <w:sig w:usb0="00000001" w:usb1="080E0000" w:usb2="00000000" w:usb3="00000000" w:csb0="0004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2000019F" w:csb1="00000000"/>
  </w:font>
  <w:font w:name="方正楷体_GBK">
    <w:panose1 w:val="03000509000000000000"/>
    <w:charset w:val="86"/>
    <w:family w:val="script"/>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9"/>
      </w:rPr>
      <w:fldChar w:fldCharType="begin"/>
    </w:r>
    <w:r>
      <w:rPr>
        <w:rStyle w:val="19"/>
      </w:rPr>
      <w:instrText>Page</w:instrText>
    </w:r>
    <w:r>
      <w:rPr>
        <w:rStyle w:val="19"/>
      </w:rPr>
      <w:fldChar w:fldCharType="separate"/>
    </w:r>
    <w:r>
      <w:rPr>
        <w:rStyle w:val="19"/>
      </w:rPr>
      <w:t>0</w:t>
    </w:r>
    <w:r>
      <w:rPr>
        <w:rStyle w:val="19"/>
      </w:rPr>
      <w:fldChar w:fldCharType="end"/>
    </w:r>
  </w:p>
  <w:p>
    <w:pPr>
      <w:pStyle w:val="17"/>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zdhMzg5MzgxMDg2NjQ1NDJmMjUzZGRmYTVhMzcyMj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index 8"/>
    <w:basedOn w:val="0"/>
    <w:next w:val="0"/>
    <w:pPr>
      <w:ind w:leftChars="1400" w:left="1400"/>
    </w:pPr>
  </w:style>
  <w:style w:type="paragraph" w:styleId="16">
    <w:name w:val="Balloon Text"/>
    <w:basedOn w:val="0"/>
    <w:rPr>
      <w:sz w:val="18"/>
      <w:szCs w:val="18"/>
    </w:rPr>
  </w:style>
  <w:style w:type="paragraph" w:styleId="17">
    <w:name w:val="footer"/>
    <w:basedOn w:val="0"/>
    <w:pPr>
      <w:tabs>
        <w:tab w:val="center" w:pos="4153"/>
        <w:tab w:val="right" w:pos="8307"/>
      </w:tabs>
      <w:snapToGrid w:val="0"/>
      <w:jc w:val="left"/>
    </w:pPr>
    <w:rPr>
      <w:sz w:val="18"/>
    </w:rPr>
  </w:style>
  <w:style w:type="paragraph" w:styleId="18">
    <w:name w:val="header"/>
    <w:basedOn w:val="0"/>
    <w:pPr>
      <w:tabs>
        <w:tab w:val="center" w:pos="4153"/>
        <w:tab w:val="right" w:pos="8306"/>
      </w:tabs>
      <w:snapToGrid w:val="0"/>
    </w:pPr>
    <w:rPr>
      <w:sz w:val="18"/>
    </w:rPr>
  </w:style>
  <w:style w:type="character" w:styleId="19">
    <w:name w:val="page number"/>
    <w:basedOn w:val="10"/>
  </w:style>
  <w:style w:type="paragraph" w:customStyle="1" w:styleId="20">
    <w:name w:val="样式 4 10 磅"/>
    <w:basedOn w:val="0"/>
    <w:rPr>
      <w:rFonts w:ascii="Times New Roman" w:cs="Times New Roman" w:hAnsi="Times New Roman"/>
      <w:szCs w:val="21"/>
    </w:rPr>
  </w:style>
  <w:style w:type="paragraph" w:customStyle="1" w:styleId="21">
    <w:name w:val="样式 51 10 磅"/>
    <w:basedOn w:val="0"/>
    <w:rPr>
      <w:rFonts w:ascii="Times New Roman" w:cs="Times New Roman" w:hAnsi="Times New Roman"/>
      <w:szCs w:val="21"/>
    </w:rPr>
  </w:style>
  <w:style w:type="paragraph" w:customStyle="1" w:styleId="22">
    <w:name w:val="样式 36 10 磅"/>
    <w:basedOn w:val="0"/>
    <w:rPr>
      <w:rFonts w:ascii="Times New Roman" w:cs="Times New Roman" w:hAnsi="Times New Roman"/>
      <w:szCs w:val="21"/>
    </w:rPr>
  </w:style>
  <w:style w:type="paragraph" w:customStyle="1" w:styleId="23">
    <w:name w:val="样式 49 10 磅"/>
    <w:basedOn w:val="0"/>
    <w:rPr>
      <w:rFonts w:ascii="Times New Roman" w:cs="Times New Roman" w:hAnsi="Times New Roman"/>
      <w:szCs w:val="21"/>
    </w:rPr>
  </w:style>
  <w:style w:type="character" w:customStyle="1" w:styleId="24">
    <w:name w:val="font41"/>
    <w:basedOn w:val="10"/>
    <w:rPr>
      <w:rFonts w:ascii="宋体" w:eastAsia="宋体" w:cs="宋体"/>
      <w:color w:val="000000"/>
      <w:sz w:val="22"/>
      <w:szCs w:val="22"/>
      <w:u w:val="none"/>
    </w:rPr>
  </w:style>
  <w:style w:type="character" w:customStyle="1" w:styleId="25">
    <w:name w:val="font61"/>
    <w:basedOn w:val="10"/>
    <w:rPr>
      <w:rFonts w:ascii="宋体" w:eastAsia="宋体" w:cs="宋体"/>
      <w:color w:val="000000"/>
      <w:sz w:val="22"/>
      <w:szCs w:val="22"/>
      <w:u w:val="none"/>
    </w:rPr>
  </w:style>
  <w:style w:type="character" w:customStyle="1" w:styleId="26">
    <w:name w:val="font71"/>
    <w:basedOn w:val="10"/>
    <w:rPr>
      <w:rFonts w:ascii="Times New Roman" w:cs="Times New Roman" w:hAnsi="Times New Roman"/>
      <w:color w:val="000000"/>
      <w:sz w:val="22"/>
      <w:szCs w:val="22"/>
      <w:u w:val="none"/>
    </w:rPr>
  </w:style>
  <w:style w:type="character" w:customStyle="1" w:styleId="27">
    <w:name w:val="font51"/>
    <w:basedOn w:val="10"/>
    <w:rPr>
      <w:rFonts w:ascii="宋体" w:eastAsia="宋体" w:cs="宋体"/>
      <w:color w:val="000000"/>
      <w:sz w:val="22"/>
      <w:szCs w:val="22"/>
      <w:u w:val="none"/>
    </w:rPr>
  </w:style>
  <w:style w:type="character" w:customStyle="1" w:styleId="28">
    <w:name w:val="font01"/>
    <w:basedOn w:val="10"/>
    <w:rPr>
      <w:rFonts w:ascii="宋体" w:eastAsia="宋体" w:cs="宋体"/>
      <w:color w:val="000000"/>
      <w:sz w:val="22"/>
      <w:szCs w:val="22"/>
      <w:u w:val="none"/>
    </w:rPr>
  </w:style>
  <w:style w:type="paragraph" w:customStyle="1" w:styleId="29">
    <w:name w:val="样式 2 10 磅"/>
    <w:basedOn w:val="0"/>
    <w:rPr>
      <w:rFonts w:ascii="Times New Roman" w:cs="Times New Roman" w:hAnsi="Times New Roman"/>
      <w:szCs w:val="21"/>
    </w:rPr>
  </w:style>
  <w:style w:type="paragraph" w:customStyle="1" w:styleId="30">
    <w:name w:val="样式 1 10 磅"/>
    <w:basedOn w:val="0"/>
    <w:rPr>
      <w:rFonts w:ascii="Times New Roman" w:cs="Times New Roman" w:hAnsi="Times New Roman"/>
      <w:szCs w:val="21"/>
    </w:rPr>
  </w:style>
  <w:style w:type="paragraph" w:customStyle="1" w:styleId="31">
    <w:name w:val="List Paragraph"/>
    <w:basedOn w:val="0"/>
    <w:pPr>
      <w:ind w:firstLineChars="200" w:firstLine="200"/>
    </w:pPr>
  </w:style>
  <w:style w:type="paragraph" w:customStyle="1" w:styleId="32">
    <w:name w:val="样式 2 三号"/>
    <w:next w:val="15"/>
    <w:pPr>
      <w:widowControl w:val="0"/>
      <w:jc w:val="both"/>
    </w:pPr>
    <w:rPr>
      <w:rFonts w:ascii="Times New Roman" w:eastAsia="方正仿宋_GBK" w:cs="Times New Roman" w:hAnsi="Times New Roman"/>
      <w:kern w:val="2"/>
      <w:sz w:val="32"/>
      <w:szCs w:val="32"/>
      <w:lang w:val="en-US" w:eastAsia="zh-CN" w:bidi="ar-SA"/>
    </w:rPr>
  </w:style>
  <w:style w:type="paragraph" w:customStyle="1" w:styleId="33">
    <w:name w:val="样式 10 磅"/>
    <w:pPr>
      <w:widowControl w:val="0"/>
      <w:jc w:val="both"/>
    </w:pPr>
    <w:rPr>
      <w:rFonts w:ascii="Calibri" w:eastAsia="宋体" w:cs="Arial" w:hAnsi="Calibri"/>
      <w:kern w:val="2"/>
      <w:sz w:val="21"/>
      <w:szCs w:val="22"/>
      <w:lang w:val="en-US" w:eastAsia="zh-CN" w:bidi="ar-SA"/>
    </w:rPr>
  </w:style>
  <w:style w:type="paragraph" w:customStyle="1" w:styleId="34">
    <w:name w:val="样式 3 10 磅"/>
    <w:pPr>
      <w:widowControl w:val="0"/>
      <w:jc w:val="both"/>
    </w:pPr>
    <w:rPr>
      <w:rFonts w:ascii="Calibri" w:eastAsia="宋体" w:cs="Arial" w:hAnsi="Calibri"/>
      <w:kern w:val="2"/>
      <w:sz w:val="21"/>
      <w:szCs w:val="22"/>
      <w:lang w:val="en-US" w:eastAsia="zh-CN" w:bidi="ar-SA"/>
    </w:rPr>
  </w:style>
  <w:style w:type="paragraph" w:customStyle="1" w:styleId="35">
    <w:name w:val="样式 5 10 磅"/>
    <w:pPr>
      <w:widowControl w:val="0"/>
      <w:jc w:val="both"/>
    </w:pPr>
    <w:rPr>
      <w:rFonts w:ascii="Calibri" w:eastAsia="宋体" w:cs="Arial" w:hAnsi="Calibri"/>
      <w:kern w:val="2"/>
      <w:sz w:val="21"/>
      <w:szCs w:val="22"/>
      <w:lang w:val="en-US" w:eastAsia="zh-CN" w:bidi="ar-SA"/>
    </w:rPr>
  </w:style>
  <w:style w:type="paragraph" w:customStyle="1" w:styleId="36">
    <w:name w:val="样式 6 10 磅"/>
    <w:pPr>
      <w:widowControl w:val="0"/>
      <w:jc w:val="both"/>
    </w:pPr>
    <w:rPr>
      <w:rFonts w:ascii="Calibri" w:eastAsia="宋体" w:cs="Arial" w:hAnsi="Calibri"/>
      <w:kern w:val="2"/>
      <w:sz w:val="21"/>
      <w:szCs w:val="22"/>
      <w:lang w:val="en-US" w:eastAsia="zh-CN" w:bidi="ar-SA"/>
    </w:rPr>
  </w:style>
  <w:style w:type="paragraph" w:customStyle="1" w:styleId="37">
    <w:name w:val="样式 7 10 磅"/>
    <w:pPr>
      <w:widowControl w:val="0"/>
      <w:jc w:val="both"/>
    </w:pPr>
    <w:rPr>
      <w:rFonts w:ascii="Calibri" w:eastAsia="宋体" w:cs="Arial" w:hAnsi="Calibri"/>
      <w:kern w:val="2"/>
      <w:sz w:val="21"/>
      <w:szCs w:val="22"/>
      <w:lang w:val="en-US" w:eastAsia="zh-CN" w:bidi="ar-SA"/>
    </w:rPr>
  </w:style>
  <w:style w:type="paragraph" w:customStyle="1" w:styleId="38">
    <w:name w:val="样式 8 10 磅"/>
    <w:pPr>
      <w:widowControl w:val="0"/>
      <w:jc w:val="both"/>
    </w:pPr>
    <w:rPr>
      <w:rFonts w:ascii="Calibri" w:eastAsia="宋体" w:cs="Arial" w:hAnsi="Calibri"/>
      <w:kern w:val="2"/>
      <w:sz w:val="21"/>
      <w:szCs w:val="22"/>
      <w:lang w:val="en-US" w:eastAsia="zh-CN" w:bidi="ar-SA"/>
    </w:rPr>
  </w:style>
  <w:style w:type="paragraph" w:customStyle="1" w:styleId="39">
    <w:name w:val="样式 9 10 磅"/>
    <w:pPr>
      <w:widowControl w:val="0"/>
      <w:jc w:val="both"/>
    </w:pPr>
    <w:rPr>
      <w:rFonts w:ascii="Calibri" w:eastAsia="宋体" w:cs="Arial" w:hAnsi="Calibri"/>
      <w:kern w:val="2"/>
      <w:sz w:val="21"/>
      <w:szCs w:val="22"/>
      <w:lang w:val="en-US" w:eastAsia="zh-CN" w:bidi="ar-SA"/>
    </w:rPr>
  </w:style>
  <w:style w:type="paragraph" w:customStyle="1" w:styleId="40">
    <w:name w:val="样式 10 10 磅"/>
    <w:pPr>
      <w:widowControl w:val="0"/>
      <w:jc w:val="both"/>
    </w:pPr>
    <w:rPr>
      <w:rFonts w:ascii="Calibri" w:eastAsia="宋体" w:cs="Arial" w:hAnsi="Calibri"/>
      <w:kern w:val="2"/>
      <w:sz w:val="21"/>
      <w:szCs w:val="22"/>
      <w:lang w:val="en-US" w:eastAsia="zh-CN" w:bidi="ar-SA"/>
    </w:rPr>
  </w:style>
  <w:style w:type="paragraph" w:customStyle="1" w:styleId="41">
    <w:name w:val="样式 11 10 磅"/>
    <w:pPr>
      <w:widowControl w:val="0"/>
      <w:jc w:val="both"/>
    </w:pPr>
    <w:rPr>
      <w:rFonts w:ascii="Calibri" w:eastAsia="宋体" w:cs="Arial" w:hAnsi="Calibri"/>
      <w:kern w:val="2"/>
      <w:sz w:val="21"/>
      <w:szCs w:val="22"/>
      <w:lang w:val="en-US" w:eastAsia="zh-CN" w:bidi="ar-SA"/>
    </w:rPr>
  </w:style>
  <w:style w:type="paragraph" w:customStyle="1" w:styleId="42">
    <w:name w:val="样式 12 10 磅"/>
    <w:pPr>
      <w:widowControl w:val="0"/>
      <w:jc w:val="both"/>
    </w:pPr>
    <w:rPr>
      <w:rFonts w:ascii="Calibri" w:eastAsia="宋体" w:cs="Arial" w:hAnsi="Calibri"/>
      <w:kern w:val="2"/>
      <w:sz w:val="21"/>
      <w:szCs w:val="22"/>
      <w:lang w:val="en-US" w:eastAsia="zh-CN" w:bidi="ar-SA"/>
    </w:rPr>
  </w:style>
  <w:style w:type="paragraph" w:customStyle="1" w:styleId="43">
    <w:name w:val="样式 13 10 磅"/>
    <w:pPr>
      <w:widowControl w:val="0"/>
      <w:jc w:val="both"/>
    </w:pPr>
    <w:rPr>
      <w:rFonts w:ascii="Calibri" w:eastAsia="宋体" w:cs="Arial" w:hAnsi="Calibri"/>
      <w:kern w:val="2"/>
      <w:sz w:val="21"/>
      <w:szCs w:val="22"/>
      <w:lang w:val="en-US" w:eastAsia="zh-CN" w:bidi="ar-SA"/>
    </w:rPr>
  </w:style>
  <w:style w:type="paragraph" w:customStyle="1" w:styleId="44">
    <w:name w:val="样式 14 10 磅"/>
    <w:pPr>
      <w:widowControl w:val="0"/>
      <w:jc w:val="both"/>
    </w:pPr>
    <w:rPr>
      <w:rFonts w:ascii="Calibri" w:eastAsia="宋体" w:cs="Arial" w:hAnsi="Calibri"/>
      <w:kern w:val="2"/>
      <w:sz w:val="21"/>
      <w:szCs w:val="22"/>
      <w:lang w:val="en-US" w:eastAsia="zh-CN" w:bidi="ar-SA"/>
    </w:rPr>
  </w:style>
  <w:style w:type="paragraph" w:customStyle="1" w:styleId="45">
    <w:name w:val="样式 15 10 磅"/>
    <w:pPr>
      <w:widowControl w:val="0"/>
      <w:jc w:val="both"/>
    </w:pPr>
    <w:rPr>
      <w:rFonts w:ascii="Calibri" w:eastAsia="宋体" w:cs="Arial" w:hAnsi="Calibri"/>
      <w:kern w:val="2"/>
      <w:sz w:val="21"/>
      <w:szCs w:val="22"/>
      <w:lang w:val="en-US" w:eastAsia="zh-CN" w:bidi="ar-SA"/>
    </w:rPr>
  </w:style>
  <w:style w:type="paragraph" w:customStyle="1" w:styleId="46">
    <w:name w:val="样式 16 10 磅"/>
    <w:pPr>
      <w:widowControl w:val="0"/>
      <w:jc w:val="both"/>
    </w:pPr>
    <w:rPr>
      <w:rFonts w:ascii="Calibri" w:eastAsia="宋体" w:cs="Arial" w:hAnsi="Calibri"/>
      <w:kern w:val="2"/>
      <w:sz w:val="21"/>
      <w:szCs w:val="22"/>
      <w:lang w:val="en-US" w:eastAsia="zh-CN" w:bidi="ar-SA"/>
    </w:rPr>
  </w:style>
  <w:style w:type="paragraph" w:customStyle="1" w:styleId="47">
    <w:name w:val="样式 17 10 磅"/>
    <w:pPr>
      <w:widowControl w:val="0"/>
      <w:jc w:val="both"/>
    </w:pPr>
    <w:rPr>
      <w:rFonts w:ascii="Calibri" w:eastAsia="宋体" w:cs="Arial" w:hAnsi="Calibri"/>
      <w:kern w:val="2"/>
      <w:sz w:val="21"/>
      <w:szCs w:val="22"/>
      <w:lang w:val="en-US" w:eastAsia="zh-CN" w:bidi="ar-SA"/>
    </w:rPr>
  </w:style>
  <w:style w:type="paragraph" w:customStyle="1" w:styleId="48">
    <w:name w:val="样式 18 10 磅"/>
    <w:pPr>
      <w:widowControl w:val="0"/>
      <w:jc w:val="both"/>
    </w:pPr>
    <w:rPr>
      <w:rFonts w:ascii="Calibri" w:eastAsia="宋体" w:cs="Arial" w:hAnsi="Calibri"/>
      <w:kern w:val="2"/>
      <w:sz w:val="21"/>
      <w:szCs w:val="22"/>
      <w:lang w:val="en-US" w:eastAsia="zh-CN" w:bidi="ar-SA"/>
    </w:rPr>
  </w:style>
  <w:style w:type="paragraph" w:customStyle="1" w:styleId="49">
    <w:name w:val="样式 19 10 磅"/>
    <w:pPr>
      <w:widowControl w:val="0"/>
      <w:jc w:val="both"/>
    </w:pPr>
    <w:rPr>
      <w:rFonts w:ascii="Calibri" w:eastAsia="宋体" w:cs="Arial" w:hAnsi="Calibri"/>
      <w:kern w:val="2"/>
      <w:sz w:val="21"/>
      <w:szCs w:val="22"/>
      <w:lang w:val="en-US" w:eastAsia="zh-CN" w:bidi="ar-SA"/>
    </w:rPr>
  </w:style>
  <w:style w:type="paragraph" w:customStyle="1" w:styleId="50">
    <w:name w:val="样式 20 10 磅"/>
    <w:pPr>
      <w:widowControl w:val="0"/>
      <w:jc w:val="both"/>
    </w:pPr>
    <w:rPr>
      <w:rFonts w:ascii="Calibri" w:eastAsia="宋体" w:cs="Arial" w:hAnsi="Calibri"/>
      <w:kern w:val="2"/>
      <w:sz w:val="21"/>
      <w:szCs w:val="22"/>
      <w:lang w:val="en-US" w:eastAsia="zh-CN" w:bidi="ar-SA"/>
    </w:rPr>
  </w:style>
  <w:style w:type="paragraph" w:customStyle="1" w:styleId="51">
    <w:name w:val="样式 21 10 磅"/>
    <w:pPr>
      <w:widowControl w:val="0"/>
      <w:jc w:val="both"/>
    </w:pPr>
    <w:rPr>
      <w:rFonts w:ascii="Calibri" w:eastAsia="宋体" w:cs="Arial" w:hAnsi="Calibri"/>
      <w:kern w:val="2"/>
      <w:sz w:val="21"/>
      <w:szCs w:val="22"/>
      <w:lang w:val="en-US" w:eastAsia="zh-CN" w:bidi="ar-SA"/>
    </w:rPr>
  </w:style>
  <w:style w:type="paragraph" w:customStyle="1" w:styleId="52">
    <w:name w:val="样式 22 10 磅"/>
    <w:pPr>
      <w:widowControl w:val="0"/>
      <w:jc w:val="both"/>
    </w:pPr>
    <w:rPr>
      <w:rFonts w:ascii="Calibri" w:eastAsia="宋体" w:cs="Arial" w:hAnsi="Calibri"/>
      <w:kern w:val="2"/>
      <w:sz w:val="21"/>
      <w:szCs w:val="22"/>
      <w:lang w:val="en-US" w:eastAsia="zh-CN" w:bidi="ar-SA"/>
    </w:rPr>
  </w:style>
  <w:style w:type="paragraph" w:customStyle="1" w:styleId="53">
    <w:name w:val="样式 23 10 磅"/>
    <w:pPr>
      <w:widowControl w:val="0"/>
      <w:jc w:val="both"/>
    </w:pPr>
    <w:rPr>
      <w:rFonts w:ascii="Calibri" w:eastAsia="宋体" w:cs="Arial" w:hAnsi="Calibri"/>
      <w:kern w:val="2"/>
      <w:sz w:val="21"/>
      <w:szCs w:val="22"/>
      <w:lang w:val="en-US" w:eastAsia="zh-CN" w:bidi="ar-SA"/>
    </w:rPr>
  </w:style>
  <w:style w:type="paragraph" w:customStyle="1" w:styleId="54">
    <w:name w:val="样式 24 10 磅"/>
    <w:pPr>
      <w:widowControl w:val="0"/>
      <w:jc w:val="both"/>
    </w:pPr>
    <w:rPr>
      <w:rFonts w:ascii="Calibri" w:eastAsia="宋体" w:cs="Arial" w:hAnsi="Calibri"/>
      <w:kern w:val="2"/>
      <w:sz w:val="21"/>
      <w:szCs w:val="22"/>
      <w:lang w:val="en-US" w:eastAsia="zh-CN" w:bidi="ar-SA"/>
    </w:rPr>
  </w:style>
  <w:style w:type="paragraph" w:customStyle="1" w:styleId="55">
    <w:name w:val="样式 25 10 磅"/>
    <w:pPr>
      <w:widowControl w:val="0"/>
      <w:jc w:val="both"/>
    </w:pPr>
    <w:rPr>
      <w:rFonts w:ascii="Calibri" w:eastAsia="宋体" w:cs="Arial" w:hAnsi="Calibri"/>
      <w:kern w:val="2"/>
      <w:sz w:val="21"/>
      <w:szCs w:val="22"/>
      <w:lang w:val="en-US" w:eastAsia="zh-CN" w:bidi="ar-SA"/>
    </w:rPr>
  </w:style>
  <w:style w:type="paragraph" w:customStyle="1" w:styleId="56">
    <w:name w:val="样式 26 10 磅"/>
    <w:pPr>
      <w:widowControl w:val="0"/>
      <w:jc w:val="both"/>
    </w:pPr>
    <w:rPr>
      <w:rFonts w:ascii="Calibri" w:eastAsia="宋体" w:cs="Arial" w:hAnsi="Calibri"/>
      <w:kern w:val="2"/>
      <w:sz w:val="21"/>
      <w:szCs w:val="22"/>
      <w:lang w:val="en-US" w:eastAsia="zh-CN" w:bidi="ar-SA"/>
    </w:rPr>
  </w:style>
  <w:style w:type="paragraph" w:customStyle="1" w:styleId="57">
    <w:name w:val="样式 27 10 磅"/>
    <w:pPr>
      <w:widowControl w:val="0"/>
      <w:jc w:val="both"/>
    </w:pPr>
    <w:rPr>
      <w:rFonts w:ascii="Calibri" w:eastAsia="宋体" w:cs="Arial" w:hAnsi="Calibri"/>
      <w:kern w:val="2"/>
      <w:sz w:val="21"/>
      <w:szCs w:val="22"/>
      <w:lang w:val="en-US" w:eastAsia="zh-CN" w:bidi="ar-SA"/>
    </w:rPr>
  </w:style>
  <w:style w:type="paragraph" w:customStyle="1" w:styleId="58">
    <w:name w:val="样式 28 10 磅"/>
    <w:pPr>
      <w:widowControl w:val="0"/>
      <w:jc w:val="both"/>
    </w:pPr>
    <w:rPr>
      <w:rFonts w:ascii="Calibri" w:eastAsia="宋体" w:cs="Arial" w:hAnsi="Calibri"/>
      <w:kern w:val="2"/>
      <w:sz w:val="21"/>
      <w:szCs w:val="22"/>
      <w:lang w:val="en-US" w:eastAsia="zh-CN" w:bidi="ar-SA"/>
    </w:rPr>
  </w:style>
  <w:style w:type="paragraph" w:customStyle="1" w:styleId="59">
    <w:name w:val="样式 29 10 磅"/>
    <w:pPr>
      <w:widowControl w:val="0"/>
      <w:jc w:val="both"/>
    </w:pPr>
    <w:rPr>
      <w:rFonts w:ascii="Calibri" w:eastAsia="宋体" w:cs="Arial" w:hAnsi="Calibri"/>
      <w:kern w:val="2"/>
      <w:sz w:val="21"/>
      <w:szCs w:val="22"/>
      <w:lang w:val="en-US" w:eastAsia="zh-CN" w:bidi="ar-SA"/>
    </w:rPr>
  </w:style>
  <w:style w:type="paragraph" w:customStyle="1" w:styleId="60">
    <w:name w:val="样式 30 10 磅"/>
    <w:pPr>
      <w:widowControl w:val="0"/>
      <w:jc w:val="both"/>
    </w:pPr>
    <w:rPr>
      <w:rFonts w:ascii="Calibri" w:eastAsia="宋体" w:cs="Arial" w:hAnsi="Calibri"/>
      <w:kern w:val="2"/>
      <w:sz w:val="21"/>
      <w:szCs w:val="22"/>
      <w:lang w:val="en-US" w:eastAsia="zh-CN" w:bidi="ar-SA"/>
    </w:rPr>
  </w:style>
  <w:style w:type="paragraph" w:customStyle="1" w:styleId="61">
    <w:name w:val="样式 31 10 磅"/>
    <w:pPr>
      <w:widowControl w:val="0"/>
      <w:jc w:val="both"/>
    </w:pPr>
    <w:rPr>
      <w:rFonts w:ascii="Calibri" w:eastAsia="宋体" w:cs="Arial" w:hAnsi="Calibri"/>
      <w:kern w:val="2"/>
      <w:sz w:val="21"/>
      <w:szCs w:val="22"/>
      <w:lang w:val="en-US" w:eastAsia="zh-CN" w:bidi="ar-SA"/>
    </w:rPr>
  </w:style>
  <w:style w:type="paragraph" w:customStyle="1" w:styleId="62">
    <w:name w:val="样式 32 10 磅"/>
    <w:pPr>
      <w:widowControl w:val="0"/>
      <w:jc w:val="both"/>
    </w:pPr>
    <w:rPr>
      <w:rFonts w:ascii="Calibri" w:eastAsia="宋体" w:cs="Arial" w:hAnsi="Calibri"/>
      <w:kern w:val="2"/>
      <w:sz w:val="21"/>
      <w:szCs w:val="22"/>
      <w:lang w:val="en-US" w:eastAsia="zh-CN" w:bidi="ar-SA"/>
    </w:rPr>
  </w:style>
  <w:style w:type="paragraph" w:customStyle="1" w:styleId="63">
    <w:name w:val="样式 33 10 磅"/>
    <w:pPr>
      <w:widowControl w:val="0"/>
      <w:jc w:val="both"/>
    </w:pPr>
    <w:rPr>
      <w:rFonts w:ascii="Calibri" w:eastAsia="宋体" w:cs="Arial" w:hAnsi="Calibri"/>
      <w:kern w:val="2"/>
      <w:sz w:val="21"/>
      <w:szCs w:val="22"/>
      <w:lang w:val="en-US" w:eastAsia="zh-CN" w:bidi="ar-SA"/>
    </w:rPr>
  </w:style>
  <w:style w:type="paragraph" w:customStyle="1" w:styleId="64">
    <w:name w:val="样式 34 10 磅"/>
    <w:pPr>
      <w:widowControl w:val="0"/>
      <w:jc w:val="both"/>
    </w:pPr>
    <w:rPr>
      <w:rFonts w:ascii="Calibri" w:eastAsia="宋体" w:cs="Arial" w:hAnsi="Calibri"/>
      <w:kern w:val="2"/>
      <w:sz w:val="21"/>
      <w:szCs w:val="22"/>
      <w:lang w:val="en-US" w:eastAsia="zh-CN" w:bidi="ar-SA"/>
    </w:rPr>
  </w:style>
  <w:style w:type="paragraph" w:customStyle="1" w:styleId="65">
    <w:name w:val="样式 35 10 磅"/>
    <w:pPr>
      <w:widowControl w:val="0"/>
      <w:jc w:val="both"/>
    </w:pPr>
    <w:rPr>
      <w:rFonts w:ascii="Calibri" w:eastAsia="宋体" w:cs="Arial" w:hAnsi="Calibri"/>
      <w:kern w:val="2"/>
      <w:sz w:val="21"/>
      <w:szCs w:val="22"/>
      <w:lang w:val="en-US" w:eastAsia="zh-CN" w:bidi="ar-SA"/>
    </w:rPr>
  </w:style>
  <w:style w:type="paragraph" w:customStyle="1" w:styleId="66">
    <w:name w:val="样式 37 10 磅"/>
    <w:pPr>
      <w:widowControl w:val="0"/>
      <w:jc w:val="both"/>
    </w:pPr>
    <w:rPr>
      <w:rFonts w:ascii="Calibri" w:eastAsia="宋体" w:cs="Arial" w:hAnsi="Calibri"/>
      <w:kern w:val="2"/>
      <w:sz w:val="21"/>
      <w:szCs w:val="22"/>
      <w:lang w:val="en-US" w:eastAsia="zh-CN" w:bidi="ar-SA"/>
    </w:rPr>
  </w:style>
  <w:style w:type="paragraph" w:customStyle="1" w:styleId="67">
    <w:name w:val="样式 38 10 磅"/>
    <w:pPr>
      <w:widowControl w:val="0"/>
      <w:jc w:val="both"/>
    </w:pPr>
    <w:rPr>
      <w:rFonts w:ascii="Calibri" w:eastAsia="宋体" w:cs="Arial" w:hAnsi="Calibri"/>
      <w:kern w:val="2"/>
      <w:sz w:val="21"/>
      <w:szCs w:val="22"/>
      <w:lang w:val="en-US" w:eastAsia="zh-CN" w:bidi="ar-SA"/>
    </w:rPr>
  </w:style>
  <w:style w:type="paragraph" w:customStyle="1" w:styleId="68">
    <w:name w:val="样式 39 10 磅"/>
    <w:pPr>
      <w:widowControl w:val="0"/>
      <w:jc w:val="both"/>
    </w:pPr>
    <w:rPr>
      <w:rFonts w:ascii="Calibri" w:eastAsia="宋体" w:cs="Arial" w:hAnsi="Calibri"/>
      <w:kern w:val="2"/>
      <w:sz w:val="21"/>
      <w:szCs w:val="22"/>
      <w:lang w:val="en-US" w:eastAsia="zh-CN" w:bidi="ar-SA"/>
    </w:rPr>
  </w:style>
  <w:style w:type="paragraph" w:customStyle="1" w:styleId="69">
    <w:name w:val="样式 40 10 磅"/>
    <w:pPr>
      <w:widowControl w:val="0"/>
      <w:jc w:val="both"/>
    </w:pPr>
    <w:rPr>
      <w:rFonts w:ascii="Calibri" w:eastAsia="宋体" w:cs="Arial" w:hAnsi="Calibri"/>
      <w:kern w:val="2"/>
      <w:sz w:val="21"/>
      <w:szCs w:val="22"/>
      <w:lang w:val="en-US" w:eastAsia="zh-CN" w:bidi="ar-SA"/>
    </w:rPr>
  </w:style>
  <w:style w:type="paragraph" w:customStyle="1" w:styleId="70">
    <w:name w:val="样式 41 10 磅"/>
    <w:pPr>
      <w:widowControl w:val="0"/>
      <w:jc w:val="both"/>
    </w:pPr>
    <w:rPr>
      <w:rFonts w:ascii="Calibri" w:eastAsia="宋体" w:cs="Arial" w:hAnsi="Calibri"/>
      <w:kern w:val="2"/>
      <w:sz w:val="21"/>
      <w:szCs w:val="22"/>
      <w:lang w:val="en-US" w:eastAsia="zh-CN" w:bidi="ar-SA"/>
    </w:rPr>
  </w:style>
  <w:style w:type="paragraph" w:customStyle="1" w:styleId="71">
    <w:name w:val="样式 42 10 磅"/>
    <w:pPr>
      <w:widowControl w:val="0"/>
      <w:jc w:val="both"/>
    </w:pPr>
    <w:rPr>
      <w:rFonts w:ascii="Calibri" w:eastAsia="宋体" w:cs="Arial" w:hAnsi="Calibri"/>
      <w:kern w:val="2"/>
      <w:sz w:val="21"/>
      <w:szCs w:val="22"/>
      <w:lang w:val="en-US" w:eastAsia="zh-CN" w:bidi="ar-SA"/>
    </w:rPr>
  </w:style>
  <w:style w:type="paragraph" w:customStyle="1" w:styleId="72">
    <w:name w:val="样式 43 10 磅"/>
    <w:pPr>
      <w:widowControl w:val="0"/>
      <w:jc w:val="both"/>
    </w:pPr>
    <w:rPr>
      <w:rFonts w:ascii="Calibri" w:eastAsia="宋体" w:cs="Arial" w:hAnsi="Calibri"/>
      <w:kern w:val="2"/>
      <w:sz w:val="21"/>
      <w:szCs w:val="22"/>
      <w:lang w:val="en-US" w:eastAsia="zh-CN" w:bidi="ar-SA"/>
    </w:rPr>
  </w:style>
  <w:style w:type="paragraph" w:customStyle="1" w:styleId="73">
    <w:name w:val="样式 44 10 磅"/>
    <w:pPr>
      <w:widowControl w:val="0"/>
      <w:jc w:val="both"/>
    </w:pPr>
    <w:rPr>
      <w:rFonts w:ascii="Calibri" w:eastAsia="宋体" w:cs="Arial" w:hAnsi="Calibri"/>
      <w:kern w:val="2"/>
      <w:sz w:val="21"/>
      <w:szCs w:val="22"/>
      <w:lang w:val="en-US" w:eastAsia="zh-CN" w:bidi="ar-SA"/>
    </w:rPr>
  </w:style>
  <w:style w:type="paragraph" w:customStyle="1" w:styleId="74">
    <w:name w:val="样式 45 10 磅"/>
    <w:pPr>
      <w:widowControl w:val="0"/>
      <w:jc w:val="both"/>
    </w:pPr>
    <w:rPr>
      <w:rFonts w:ascii="Calibri" w:eastAsia="宋体" w:cs="Arial" w:hAnsi="Calibri"/>
      <w:kern w:val="2"/>
      <w:sz w:val="21"/>
      <w:szCs w:val="22"/>
      <w:lang w:val="en-US" w:eastAsia="zh-CN" w:bidi="ar-SA"/>
    </w:rPr>
  </w:style>
  <w:style w:type="paragraph" w:customStyle="1" w:styleId="75">
    <w:name w:val="样式 46 10 磅"/>
    <w:pPr>
      <w:widowControl w:val="0"/>
      <w:jc w:val="both"/>
    </w:pPr>
    <w:rPr>
      <w:rFonts w:ascii="Calibri" w:eastAsia="宋体" w:cs="Arial" w:hAnsi="Calibri"/>
      <w:kern w:val="2"/>
      <w:sz w:val="21"/>
      <w:szCs w:val="22"/>
      <w:lang w:val="en-US" w:eastAsia="zh-CN" w:bidi="ar-SA"/>
    </w:rPr>
  </w:style>
  <w:style w:type="paragraph" w:customStyle="1" w:styleId="76">
    <w:name w:val="样式 47 10 磅"/>
    <w:pPr>
      <w:widowControl w:val="0"/>
      <w:jc w:val="both"/>
    </w:pPr>
    <w:rPr>
      <w:rFonts w:ascii="Calibri" w:eastAsia="宋体" w:cs="Arial" w:hAnsi="Calibri"/>
      <w:kern w:val="2"/>
      <w:sz w:val="21"/>
      <w:szCs w:val="22"/>
      <w:lang w:val="en-US" w:eastAsia="zh-CN" w:bidi="ar-SA"/>
    </w:rPr>
  </w:style>
  <w:style w:type="paragraph" w:customStyle="1" w:styleId="77">
    <w:name w:val="样式 48 10 磅"/>
    <w:pPr>
      <w:widowControl w:val="0"/>
      <w:jc w:val="both"/>
    </w:pPr>
    <w:rPr>
      <w:rFonts w:ascii="Calibri" w:eastAsia="宋体" w:cs="Arial" w:hAnsi="Calibri"/>
      <w:kern w:val="2"/>
      <w:sz w:val="21"/>
      <w:szCs w:val="22"/>
      <w:lang w:val="en-US" w:eastAsia="zh-CN" w:bidi="ar-SA"/>
    </w:rPr>
  </w:style>
  <w:style w:type="paragraph" w:customStyle="1" w:styleId="78">
    <w:name w:val="样式 50 10 磅"/>
    <w:pPr>
      <w:widowControl w:val="0"/>
      <w:jc w:val="both"/>
    </w:pPr>
    <w:rPr>
      <w:rFonts w:ascii="Calibri" w:eastAsia="宋体" w:cs="Arial" w:hAnsi="Calibri"/>
      <w:kern w:val="2"/>
      <w:sz w:val="21"/>
      <w:szCs w:val="22"/>
      <w:lang w:val="en-US" w:eastAsia="zh-CN" w:bidi="ar-SA"/>
    </w:rPr>
  </w:style>
  <w:style w:type="paragraph" w:customStyle="1" w:styleId="79">
    <w:name w:val="样式 52 10 磅"/>
    <w:pPr>
      <w:widowControl w:val="0"/>
      <w:jc w:val="both"/>
    </w:pPr>
    <w:rPr>
      <w:rFonts w:ascii="Calibri" w:eastAsia="宋体" w:cs="Arial" w:hAnsi="Calibri"/>
      <w:kern w:val="2"/>
      <w:sz w:val="21"/>
      <w:szCs w:val="22"/>
      <w:lang w:val="en-US" w:eastAsia="zh-CN" w:bidi="ar-SA"/>
    </w:rPr>
  </w:style>
  <w:style w:type="paragraph" w:customStyle="1" w:styleId="80">
    <w:name w:val="样式 53 10 磅"/>
    <w:pPr>
      <w:widowControl w:val="0"/>
      <w:jc w:val="both"/>
    </w:pPr>
    <w:rPr>
      <w:rFonts w:ascii="Calibri" w:eastAsia="宋体" w:cs="Arial" w:hAnsi="Calibri"/>
      <w:kern w:val="2"/>
      <w:sz w:val="21"/>
      <w:szCs w:val="22"/>
      <w:lang w:val="en-US" w:eastAsia="zh-CN" w:bidi="ar-SA"/>
    </w:rPr>
  </w:style>
  <w:style w:type="paragraph" w:customStyle="1" w:styleId="81">
    <w:name w:val="样式 54 10 磅"/>
    <w:pPr>
      <w:widowControl w:val="0"/>
      <w:jc w:val="both"/>
    </w:pPr>
    <w:rPr>
      <w:rFonts w:ascii="Calibri" w:eastAsia="宋体" w:cs="Arial" w:hAnsi="Calibri"/>
      <w:kern w:val="2"/>
      <w:sz w:val="21"/>
      <w:szCs w:val="22"/>
      <w:lang w:val="en-US" w:eastAsia="zh-CN" w:bidi="ar-SA"/>
    </w:rPr>
  </w:style>
  <w:style w:type="paragraph" w:customStyle="1" w:styleId="82">
    <w:name w:val="样式 55 10 磅"/>
    <w:pPr>
      <w:widowControl w:val="0"/>
      <w:jc w:val="both"/>
    </w:pPr>
    <w:rPr>
      <w:rFonts w:ascii="Calibri" w:eastAsia="宋体" w:cs="Arial" w:hAnsi="Calibri"/>
      <w:kern w:val="2"/>
      <w:sz w:val="21"/>
      <w:szCs w:val="22"/>
      <w:lang w:val="en-US" w:eastAsia="zh-CN" w:bidi="ar-SA"/>
    </w:rPr>
  </w:style>
  <w:style w:type="paragraph" w:customStyle="1" w:styleId="83">
    <w:name w:val="样式 56 10 磅"/>
    <w:pPr>
      <w:widowControl w:val="0"/>
      <w:jc w:val="both"/>
    </w:pPr>
    <w:rPr>
      <w:rFonts w:ascii="Calibri" w:eastAsia="宋体" w:cs="Arial" w:hAnsi="Calibri"/>
      <w:kern w:val="2"/>
      <w:sz w:val="21"/>
      <w:szCs w:val="22"/>
      <w:lang w:val="en-US" w:eastAsia="zh-CN" w:bidi="ar-SA"/>
    </w:rPr>
  </w:style>
  <w:style w:type="paragraph" w:customStyle="1" w:styleId="84">
    <w:name w:val="样式 57 10 磅"/>
    <w:pPr>
      <w:widowControl w:val="0"/>
      <w:jc w:val="both"/>
    </w:pPr>
    <w:rPr>
      <w:rFonts w:ascii="Calibri" w:eastAsia="宋体" w:cs="Arial" w:hAnsi="Calibri"/>
      <w:kern w:val="2"/>
      <w:sz w:val="21"/>
      <w:szCs w:val="22"/>
      <w:lang w:val="en-US" w:eastAsia="zh-CN" w:bidi="ar-SA"/>
    </w:rPr>
  </w:style>
  <w:style w:type="paragraph" w:customStyle="1" w:styleId="85">
    <w:name w:val="样式 58 10 磅"/>
    <w:pPr>
      <w:widowControl w:val="0"/>
      <w:jc w:val="both"/>
    </w:pPr>
    <w:rPr>
      <w:rFonts w:ascii="Calibri" w:eastAsia="宋体" w:cs="Arial" w:hAnsi="Calibri"/>
      <w:kern w:val="2"/>
      <w:sz w:val="21"/>
      <w:szCs w:val="22"/>
      <w:lang w:val="en-US" w:eastAsia="zh-CN" w:bidi="ar-SA"/>
    </w:rPr>
  </w:style>
  <w:style w:type="paragraph" w:customStyle="1" w:styleId="86">
    <w:name w:val="样式 59 10 磅"/>
    <w:pPr>
      <w:widowControl w:val="0"/>
      <w:jc w:val="both"/>
    </w:pPr>
    <w:rPr>
      <w:rFonts w:ascii="Calibri" w:eastAsia="宋体" w:cs="Arial" w:hAnsi="Calibri"/>
      <w:kern w:val="2"/>
      <w:sz w:val="21"/>
      <w:szCs w:val="22"/>
      <w:lang w:val="en-US" w:eastAsia="zh-CN" w:bidi="ar-SA"/>
    </w:rPr>
  </w:style>
  <w:style w:type="paragraph" w:customStyle="1" w:styleId="87">
    <w:name w:val="样式 60 10 磅"/>
    <w:pPr>
      <w:widowControl w:val="0"/>
      <w:jc w:val="both"/>
    </w:pPr>
    <w:rPr>
      <w:rFonts w:ascii="Calibri" w:eastAsia="宋体" w:cs="Arial" w:hAnsi="Calibri"/>
      <w:kern w:val="2"/>
      <w:sz w:val="21"/>
      <w:szCs w:val="22"/>
      <w:lang w:val="en-US" w:eastAsia="zh-CN" w:bidi="ar-SA"/>
    </w:rPr>
  </w:style>
  <w:style w:type="paragraph" w:customStyle="1" w:styleId="88">
    <w:name w:val="样式 61 10 磅"/>
    <w:pPr>
      <w:widowControl w:val="0"/>
      <w:jc w:val="both"/>
    </w:pPr>
    <w:rPr>
      <w:rFonts w:ascii="Calibri" w:eastAsia="宋体" w:cs="Arial" w:hAnsi="Calibri"/>
      <w:kern w:val="2"/>
      <w:sz w:val="21"/>
      <w:szCs w:val="22"/>
      <w:lang w:val="en-US" w:eastAsia="zh-CN" w:bidi="ar-SA"/>
    </w:rPr>
  </w:style>
  <w:style w:type="paragraph" w:customStyle="1" w:styleId="89">
    <w:name w:val="样式 62 10 磅"/>
    <w:pPr>
      <w:widowControl w:val="0"/>
      <w:jc w:val="both"/>
    </w:pPr>
    <w:rPr>
      <w:rFonts w:ascii="Calibri" w:eastAsia="宋体" w:cs="Arial" w:hAnsi="Calibri"/>
      <w:kern w:val="2"/>
      <w:sz w:val="21"/>
      <w:szCs w:val="22"/>
      <w:lang w:val="en-US" w:eastAsia="zh-CN" w:bidi="ar-SA"/>
    </w:rPr>
  </w:style>
  <w:style w:type="paragraph" w:customStyle="1" w:styleId="90">
    <w:name w:val="样式 63 10 磅"/>
    <w:pPr>
      <w:widowControl w:val="0"/>
      <w:jc w:val="both"/>
    </w:pPr>
    <w:rPr>
      <w:rFonts w:ascii="Calibri" w:eastAsia="宋体" w:cs="Arial" w:hAnsi="Calibri"/>
      <w:kern w:val="2"/>
      <w:sz w:val="21"/>
      <w:szCs w:val="22"/>
      <w:lang w:val="en-US" w:eastAsia="zh-CN" w:bidi="ar-SA"/>
    </w:rPr>
  </w:style>
  <w:style w:type="paragraph" w:customStyle="1" w:styleId="91">
    <w:name w:val="样式 64 10 磅"/>
    <w:pPr>
      <w:widowControl w:val="0"/>
      <w:jc w:val="both"/>
    </w:pPr>
    <w:rPr>
      <w:rFonts w:ascii="Calibri" w:eastAsia="宋体" w:cs="Arial" w:hAnsi="Calibri"/>
      <w:kern w:val="2"/>
      <w:sz w:val="21"/>
      <w:szCs w:val="22"/>
      <w:lang w:val="en-US" w:eastAsia="zh-CN" w:bidi="ar-SA"/>
    </w:rPr>
  </w:style>
  <w:style w:type="paragraph" w:customStyle="1" w:styleId="92">
    <w:name w:val="样式 65 10 磅"/>
    <w:pPr>
      <w:widowControl w:val="0"/>
      <w:jc w:val="both"/>
    </w:pPr>
    <w:rPr>
      <w:rFonts w:ascii="Calibri" w:eastAsia="宋体" w:cs="Arial" w:hAnsi="Calibri"/>
      <w:kern w:val="2"/>
      <w:sz w:val="21"/>
      <w:szCs w:val="22"/>
      <w:lang w:val="en-US" w:eastAsia="zh-CN" w:bidi="ar-SA"/>
    </w:rPr>
  </w:style>
  <w:style w:type="paragraph" w:customStyle="1" w:styleId="93">
    <w:name w:val="样式 66 10 磅"/>
    <w:pPr>
      <w:widowControl w:val="0"/>
      <w:jc w:val="both"/>
    </w:pPr>
    <w:rPr>
      <w:rFonts w:ascii="Calibri" w:eastAsia="宋体" w:cs="Arial" w:hAnsi="Calibri"/>
      <w:kern w:val="2"/>
      <w:sz w:val="21"/>
      <w:szCs w:val="22"/>
      <w:lang w:val="en-US" w:eastAsia="zh-CN" w:bidi="ar-SA"/>
    </w:rPr>
  </w:style>
  <w:style w:type="paragraph" w:customStyle="1" w:styleId="94">
    <w:name w:val="样式 67 10 磅"/>
    <w:pPr>
      <w:widowControl w:val="0"/>
      <w:jc w:val="both"/>
    </w:pPr>
    <w:rPr>
      <w:rFonts w:ascii="Calibri" w:eastAsia="宋体" w:cs="Arial" w:hAnsi="Calibri"/>
      <w:kern w:val="2"/>
      <w:sz w:val="21"/>
      <w:szCs w:val="22"/>
      <w:lang w:val="en-US" w:eastAsia="zh-CN" w:bidi="ar-SA"/>
    </w:rPr>
  </w:style>
  <w:style w:type="paragraph" w:customStyle="1" w:styleId="95">
    <w:name w:val="样式 68 10 磅"/>
    <w:pPr>
      <w:widowControl w:val="0"/>
      <w:jc w:val="both"/>
    </w:pPr>
    <w:rPr>
      <w:rFonts w:ascii="Calibri" w:eastAsia="宋体" w:cs="Arial" w:hAnsi="Calibri"/>
      <w:kern w:val="2"/>
      <w:sz w:val="21"/>
      <w:szCs w:val="22"/>
      <w:lang w:val="en-US" w:eastAsia="zh-CN" w:bidi="ar-SA"/>
    </w:rPr>
  </w:style>
  <w:style w:type="paragraph" w:customStyle="1" w:styleId="96">
    <w:name w:val="样式 69 10 磅"/>
    <w:pPr>
      <w:widowControl w:val="0"/>
      <w:jc w:val="both"/>
    </w:pPr>
    <w:rPr>
      <w:rFonts w:ascii="Calibri" w:eastAsia="宋体" w:cs="Arial" w:hAnsi="Calibri"/>
      <w:kern w:val="2"/>
      <w:sz w:val="21"/>
      <w:szCs w:val="22"/>
      <w:lang w:val="en-US" w:eastAsia="zh-CN" w:bidi="ar-SA"/>
    </w:rPr>
  </w:style>
  <w:style w:type="paragraph" w:customStyle="1" w:styleId="97">
    <w:name w:val="样式 70 10 磅"/>
    <w:pPr>
      <w:widowControl w:val="0"/>
      <w:jc w:val="both"/>
    </w:pPr>
    <w:rPr>
      <w:rFonts w:ascii="Calibri" w:eastAsia="宋体" w:cs="Arial" w:hAnsi="Calibri"/>
      <w:kern w:val="2"/>
      <w:sz w:val="21"/>
      <w:szCs w:val="22"/>
      <w:lang w:val="en-US" w:eastAsia="zh-CN" w:bidi="ar-SA"/>
    </w:rPr>
  </w:style>
  <w:style w:type="paragraph" w:customStyle="1" w:styleId="98">
    <w:name w:val="样式 71 10 磅"/>
    <w:pPr>
      <w:widowControl w:val="0"/>
      <w:jc w:val="both"/>
    </w:pPr>
    <w:rPr>
      <w:rFonts w:ascii="Calibri" w:eastAsia="宋体" w:cs="Arial" w:hAnsi="Calibri"/>
      <w:kern w:val="2"/>
      <w:sz w:val="21"/>
      <w:szCs w:val="22"/>
      <w:lang w:val="en-US" w:eastAsia="zh-CN" w:bidi="ar-SA"/>
    </w:rPr>
  </w:style>
  <w:style w:type="paragraph" w:customStyle="1" w:styleId="99">
    <w:name w:val="样式 72 10 磅"/>
    <w:pPr>
      <w:widowControl w:val="0"/>
      <w:jc w:val="both"/>
    </w:pPr>
    <w:rPr>
      <w:rFonts w:ascii="Calibri" w:eastAsia="宋体" w:cs="Arial" w:hAnsi="Calibri"/>
      <w:kern w:val="2"/>
      <w:sz w:val="21"/>
      <w:szCs w:val="22"/>
      <w:lang w:val="en-US" w:eastAsia="zh-CN" w:bidi="ar-SA"/>
    </w:rPr>
  </w:style>
  <w:style w:type="paragraph" w:customStyle="1" w:styleId="100">
    <w:name w:val="样式 73 10 磅"/>
    <w:pPr>
      <w:widowControl w:val="0"/>
      <w:jc w:val="both"/>
    </w:pPr>
    <w:rPr>
      <w:rFonts w:ascii="Calibri" w:eastAsia="宋体" w:cs="Arial" w:hAnsi="Calibri"/>
      <w:kern w:val="2"/>
      <w:sz w:val="21"/>
      <w:szCs w:val="22"/>
      <w:lang w:val="en-US" w:eastAsia="zh-CN" w:bidi="ar-SA"/>
    </w:rPr>
  </w:style>
  <w:style w:type="paragraph" w:customStyle="1" w:styleId="101">
    <w:name w:val="样式 74 10 磅"/>
    <w:pPr>
      <w:widowControl w:val="0"/>
      <w:jc w:val="both"/>
    </w:pPr>
    <w:rPr>
      <w:rFonts w:ascii="Times New Roman" w:eastAsia="宋体" w:cs="Times New Roman" w:hAnsi="Times New Roman"/>
      <w:kern w:val="2"/>
      <w:sz w:val="21"/>
      <w:szCs w:val="21"/>
      <w:lang w:val="en-US" w:eastAsia="zh-CN" w:bidi="ar-SA"/>
    </w:rPr>
  </w:style>
  <w:style w:type="paragraph" w:customStyle="1" w:styleId="102">
    <w:name w:val="样式 75 10 磅"/>
    <w:pPr>
      <w:widowControl w:val="0"/>
      <w:jc w:val="both"/>
    </w:pPr>
    <w:rPr>
      <w:rFonts w:ascii="Times New Roman" w:eastAsia="宋体" w:cs="Times New Roman" w:hAnsi="Times New Roman"/>
      <w:kern w:val="2"/>
      <w:sz w:val="21"/>
      <w:szCs w:val="21"/>
      <w:lang w:val="en-US" w:eastAsia="zh-CN" w:bidi="ar-SA"/>
    </w:rPr>
  </w:style>
  <w:style w:type="paragraph" w:customStyle="1" w:styleId="103">
    <w:name w:val="样式 76 10 磅"/>
    <w:pPr>
      <w:widowControl w:val="0"/>
      <w:jc w:val="both"/>
    </w:pPr>
    <w:rPr>
      <w:rFonts w:ascii="Calibri" w:eastAsia="宋体" w:cs="Arial" w:hAnsi="Calibri"/>
      <w:kern w:val="2"/>
      <w:sz w:val="21"/>
      <w:szCs w:val="22"/>
      <w:lang w:val="en-US" w:eastAsia="zh-CN" w:bidi="ar-SA"/>
    </w:rPr>
  </w:style>
  <w:style w:type="paragraph" w:customStyle="1" w:styleId="104">
    <w:name w:val="样式 77 10 磅"/>
    <w:pPr>
      <w:widowControl w:val="0"/>
      <w:jc w:val="both"/>
    </w:pPr>
    <w:rPr>
      <w:rFonts w:ascii="Calibri" w:eastAsia="宋体" w:cs="Arial" w:hAnsi="Calibri"/>
      <w:kern w:val="2"/>
      <w:sz w:val="21"/>
      <w:szCs w:val="22"/>
      <w:lang w:val="en-US" w:eastAsia="zh-CN" w:bidi="ar-SA"/>
    </w:rPr>
  </w:style>
  <w:style w:type="paragraph" w:customStyle="1" w:styleId="105">
    <w:name w:val="样式 78 10 磅"/>
    <w:pPr>
      <w:widowControl w:val="0"/>
      <w:jc w:val="both"/>
    </w:pPr>
    <w:rPr>
      <w:rFonts w:ascii="Calibri" w:eastAsia="宋体" w:cs="Arial" w:hAnsi="Calibri"/>
      <w:kern w:val="2"/>
      <w:sz w:val="21"/>
      <w:szCs w:val="22"/>
      <w:lang w:val="en-US" w:eastAsia="zh-CN" w:bidi="ar-SA"/>
    </w:rPr>
  </w:style>
  <w:style w:type="paragraph" w:customStyle="1" w:styleId="106">
    <w:name w:val="样式 2917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2915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2899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footer" Target="footer2.xml"/><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821</TotalTime>
  <Application>Yozo_Office</Application>
  <Pages>34</Pages>
  <Words>7843</Words>
  <Characters>9952</Characters>
  <Lines>1443</Lines>
  <Paragraphs>843</Paragraphs>
  <CharactersWithSpaces>10280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杨柳惠子</cp:lastModifiedBy>
  <cp:revision>42</cp:revision>
  <cp:lastPrinted>2024-05-08T03:48:39Z</cp:lastPrinted>
  <dcterms:created xsi:type="dcterms:W3CDTF">2023-03-22T01:35:00Z</dcterms:created>
  <dcterms:modified xsi:type="dcterms:W3CDTF">2024-05-08T07:31:53Z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17B69AFCCB134877AE956A7911FE6E8E</vt:lpwstr>
  </property>
</Properties>
</file>