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sz w:val="84"/>
          <w:szCs w:val="84"/>
        </w:rPr>
        <w:t>聊城</w:t>
      </w:r>
      <w:r>
        <w:rPr>
          <w:rFonts w:ascii="Times New Roman" w:hAnsi="Times New Roman" w:hint="eastAsia"/>
          <w:sz w:val="84"/>
          <w:szCs w:val="84"/>
        </w:rPr>
        <w:t>海关部门预算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4</w:t>
      </w:r>
      <w:r>
        <w:rPr>
          <w:rFonts w:ascii="Times New Roman" w:hAnsi="Times New Roman" w:hint="eastAsia"/>
          <w:sz w:val="44"/>
          <w:szCs w:val="44"/>
        </w:rPr>
        <w:t>年</w:t>
      </w:r>
    </w:p>
    <w:p>
      <w:pPr>
        <w:jc w:val="center"/>
        <w:rPr>
          <w:rFonts w:ascii="Times New Roman" w:hAnsi="Times New Roman"/>
          <w:sz w:val="44"/>
          <w:szCs w:val="4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footerReference w:type="even" r:id="rId2"/>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jc w:val="left"/>
        <w:rPr>
          <w:b/>
          <w:sz w:val="44"/>
          <w:szCs w:val="44"/>
        </w:rPr>
      </w:pPr>
      <w:r>
        <w:rPr>
          <w:rFonts w:ascii="宋体" w:hint="eastAsia"/>
          <w:b/>
          <w:sz w:val="44"/>
          <w:szCs w:val="44"/>
        </w:rPr>
        <w:t>第一部分</w:t>
      </w:r>
      <w:r>
        <w:rPr>
          <w:rFonts w:hint="eastAsia"/>
          <w:b/>
          <w:sz w:val="44"/>
          <w:szCs w:val="44"/>
        </w:rPr>
        <w:t xml:space="preserve">  </w:t>
      </w:r>
      <w:r>
        <w:rPr>
          <w:b/>
          <w:sz w:val="44"/>
          <w:szCs w:val="44"/>
        </w:rPr>
        <w:t>聊城</w:t>
      </w:r>
      <w:r>
        <w:rPr>
          <w:rFonts w:ascii="宋体" w:hint="eastAsia"/>
          <w:b/>
          <w:sz w:val="44"/>
          <w:szCs w:val="44"/>
        </w:rPr>
        <w:t>海关部门概况</w:t>
      </w:r>
    </w:p>
    <w:p>
      <w:pPr>
        <w:jc w:val="left"/>
        <w:rPr>
          <w:sz w:val="36"/>
          <w:szCs w:val="36"/>
        </w:rPr>
      </w:pPr>
      <w:r>
        <w:rPr>
          <w:rFonts w:ascii="宋体" w:hint="eastAsia"/>
          <w:sz w:val="36"/>
          <w:szCs w:val="36"/>
        </w:rPr>
        <w:t>一、主要职能</w:t>
      </w:r>
    </w:p>
    <w:p>
      <w:pPr>
        <w:jc w:val="left"/>
        <w:rPr>
          <w:sz w:val="36"/>
          <w:szCs w:val="36"/>
        </w:rPr>
      </w:pPr>
      <w:r>
        <w:rPr>
          <w:rFonts w:ascii="宋体" w:hint="eastAsia"/>
          <w:sz w:val="36"/>
          <w:szCs w:val="36"/>
        </w:rPr>
        <w:t>二、</w:t>
      </w:r>
      <w:r>
        <w:rPr>
          <w:rFonts w:ascii="宋体"/>
          <w:sz w:val="36"/>
          <w:szCs w:val="36"/>
        </w:rPr>
        <w:t>聊城</w:t>
      </w:r>
      <w:r>
        <w:rPr>
          <w:rFonts w:ascii="宋体" w:hint="eastAsia"/>
          <w:sz w:val="36"/>
          <w:szCs w:val="36"/>
        </w:rPr>
        <w:t>海关单位构成情况</w:t>
      </w:r>
      <w:r>
        <w:rPr>
          <w:rFonts w:hint="eastAsia"/>
          <w:sz w:val="36"/>
          <w:szCs w:val="36"/>
        </w:rPr>
        <w:t xml:space="preserve"> </w:t>
      </w:r>
    </w:p>
    <w:p>
      <w:pPr>
        <w:jc w:val="left"/>
        <w:rPr>
          <w:rFonts w:ascii="Times New Roman" w:cs="Times New Roman" w:hAnsi="Times New Roman"/>
          <w:b/>
          <w:sz w:val="44"/>
          <w:szCs w:val="44"/>
        </w:rPr>
      </w:pPr>
      <w:r>
        <w:rPr>
          <w:rFonts w:ascii="宋体" w:hint="eastAsia"/>
          <w:b/>
          <w:sz w:val="44"/>
          <w:szCs w:val="44"/>
        </w:rPr>
        <w:t>第二部分</w:t>
      </w:r>
      <w:r>
        <w:rPr>
          <w:rFonts w:hint="eastAsia"/>
          <w:b/>
          <w:sz w:val="44"/>
          <w:szCs w:val="44"/>
        </w:rPr>
        <w:t xml:space="preserve">  </w:t>
      </w:r>
      <w:r>
        <w:rPr>
          <w:rFonts w:ascii="Times New Roman" w:cs="Times New Roman" w:hAnsi="Times New Roman"/>
          <w:b/>
          <w:sz w:val="44"/>
          <w:szCs w:val="44"/>
        </w:rPr>
        <w:t>聊城海关2024年部门预算表</w:t>
      </w:r>
    </w:p>
    <w:p>
      <w:pPr>
        <w:jc w:val="left"/>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8"/>
        <w:jc w:val="left"/>
        <w:rPr>
          <w:sz w:val="36"/>
          <w:szCs w:val="36"/>
        </w:rPr>
      </w:pPr>
      <w:r>
        <w:rPr>
          <w:rFonts w:ascii="宋体" w:hint="eastAsia"/>
          <w:sz w:val="36"/>
          <w:szCs w:val="36"/>
        </w:rPr>
        <w:t>二、部门收入总表</w:t>
      </w:r>
    </w:p>
    <w:p>
      <w:pPr>
        <w:pStyle w:val="27"/>
        <w:jc w:val="left"/>
        <w:rPr>
          <w:sz w:val="36"/>
          <w:szCs w:val="36"/>
        </w:rPr>
      </w:pPr>
      <w:r>
        <w:rPr>
          <w:rFonts w:ascii="宋体" w:hint="eastAsia"/>
          <w:sz w:val="36"/>
          <w:szCs w:val="36"/>
        </w:rPr>
        <w:t>三、部门支出总表</w:t>
      </w:r>
    </w:p>
    <w:p>
      <w:pPr>
        <w:jc w:val="left"/>
        <w:rPr>
          <w:sz w:val="36"/>
          <w:szCs w:val="36"/>
        </w:rPr>
      </w:pPr>
      <w:r>
        <w:rPr>
          <w:rFonts w:ascii="宋体" w:hint="eastAsia"/>
          <w:sz w:val="36"/>
          <w:szCs w:val="36"/>
        </w:rPr>
        <w:t>四、</w:t>
      </w:r>
      <w:r>
        <w:rPr>
          <w:rFonts w:ascii="宋体"/>
          <w:sz w:val="36"/>
          <w:szCs w:val="36"/>
        </w:rPr>
        <w:t>财政拨款收支总表</w:t>
      </w:r>
    </w:p>
    <w:p>
      <w:pPr>
        <w:jc w:val="left"/>
        <w:rPr>
          <w:sz w:val="36"/>
          <w:szCs w:val="36"/>
        </w:rPr>
      </w:pPr>
      <w:r>
        <w:rPr>
          <w:rFonts w:ascii="宋体" w:hint="eastAsia"/>
          <w:sz w:val="36"/>
          <w:szCs w:val="36"/>
        </w:rPr>
        <w:t>五、</w:t>
      </w:r>
      <w:r>
        <w:rPr>
          <w:rFonts w:ascii="宋体"/>
          <w:sz w:val="36"/>
          <w:szCs w:val="36"/>
        </w:rPr>
        <w:t>一般公共预算支出表</w:t>
      </w:r>
    </w:p>
    <w:p>
      <w:pPr>
        <w:jc w:val="left"/>
        <w:rPr>
          <w:color w:val="339966"/>
          <w:sz w:val="36"/>
          <w:szCs w:val="36"/>
        </w:rPr>
      </w:pPr>
      <w:r>
        <w:rPr>
          <w:rFonts w:ascii="宋体" w:hint="eastAsia"/>
          <w:sz w:val="36"/>
          <w:szCs w:val="36"/>
        </w:rPr>
        <w:t>六、</w:t>
      </w:r>
      <w:r>
        <w:rPr>
          <w:rFonts w:ascii="宋体"/>
          <w:sz w:val="36"/>
          <w:szCs w:val="36"/>
        </w:rPr>
        <w:t>一般公共预算基本支出表</w:t>
      </w:r>
    </w:p>
    <w:p>
      <w:pPr>
        <w:jc w:val="left"/>
        <w:rPr>
          <w:sz w:val="36"/>
          <w:szCs w:val="36"/>
        </w:rPr>
      </w:pPr>
      <w:r>
        <w:rPr>
          <w:rFonts w:ascii="宋体" w:hint="eastAsia"/>
          <w:sz w:val="36"/>
          <w:szCs w:val="36"/>
        </w:rPr>
        <w:t>七、</w:t>
      </w:r>
      <w:r>
        <w:rPr>
          <w:rFonts w:ascii="宋体"/>
          <w:sz w:val="36"/>
          <w:szCs w:val="36"/>
        </w:rPr>
        <w:t>政府性基金预算支出表</w:t>
      </w:r>
    </w:p>
    <w:p>
      <w:pPr>
        <w:jc w:val="left"/>
        <w:rPr>
          <w:rFonts w:ascii="宋体"/>
          <w:sz w:val="36"/>
          <w:szCs w:val="36"/>
        </w:rPr>
      </w:pPr>
      <w:r>
        <w:rPr>
          <w:rFonts w:ascii="宋体" w:hint="eastAsia"/>
          <w:sz w:val="36"/>
          <w:szCs w:val="36"/>
        </w:rPr>
        <w:t>八、</w:t>
      </w:r>
      <w:r>
        <w:rPr>
          <w:rFonts w:ascii="宋体"/>
          <w:sz w:val="36"/>
          <w:szCs w:val="36"/>
        </w:rPr>
        <w:t>国有资本经营预算支出表</w:t>
      </w:r>
    </w:p>
    <w:p>
      <w:pPr>
        <w:jc w:val="left"/>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jc w:val="left"/>
        <w:rPr>
          <w:rFonts w:ascii="Times New Roman" w:cs="Times New Roman" w:hAnsi="Times New Roman"/>
          <w:b/>
          <w:sz w:val="44"/>
          <w:szCs w:val="44"/>
        </w:rPr>
      </w:pPr>
      <w:r>
        <w:rPr>
          <w:rFonts w:ascii="宋体" w:hint="eastAsia"/>
          <w:b/>
          <w:sz w:val="44"/>
          <w:szCs w:val="44"/>
        </w:rPr>
        <w:t>第三部分</w:t>
      </w:r>
      <w:r>
        <w:rPr>
          <w:rFonts w:hint="eastAsia"/>
          <w:b/>
          <w:sz w:val="44"/>
          <w:szCs w:val="44"/>
        </w:rPr>
        <w:t xml:space="preserve">  </w:t>
      </w:r>
      <w:r>
        <w:rPr>
          <w:rFonts w:ascii="Times New Roman" w:cs="Times New Roman" w:hAnsi="Times New Roman"/>
          <w:b/>
          <w:sz w:val="44"/>
          <w:szCs w:val="44"/>
        </w:rPr>
        <w:t>聊城海关2024年部门预算情况说明</w:t>
      </w:r>
    </w:p>
    <w:p>
      <w:pPr>
        <w:jc w:val="left"/>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pStyle w:val="172"/>
        <w:rPr>
          <w:rFonts w:ascii="宋体"/>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p>
      <w:pPr>
        <w:tabs>
          <w:tab w:val="left" w:pos="6241"/>
        </w:tabs>
        <w:jc w:val="left"/>
        <w:sectPr>
          <w:footerReference w:type="default" r:id="rId4"/>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b/>
          <w:sz w:val="84"/>
          <w:szCs w:val="84"/>
        </w:rPr>
        <w:t>聊城</w:t>
      </w:r>
      <w:r>
        <w:rPr>
          <w:rFonts w:ascii="Times New Roman" w:hAnsi="Times New Roman" w:hint="eastAsia"/>
          <w:b/>
          <w:sz w:val="84"/>
          <w:szCs w:val="84"/>
        </w:rPr>
        <w:t>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pStyle w:val="106"/>
        <w:spacing w:line="560" w:lineRule="exact"/>
        <w:ind w:firstLineChars="200" w:firstLine="640"/>
        <w:rPr>
          <w:rFonts w:ascii="Times New Roman" w:eastAsia="方正黑体_GBK" w:cs="方正黑体_GBK" w:hAnsi="Times New Roman"/>
          <w:sz w:val="32"/>
          <w:szCs w:val="32"/>
        </w:rPr>
      </w:pPr>
      <w:r>
        <w:rPr>
          <w:rFonts w:ascii="Times New Roman" w:eastAsia="方正黑体_GBK" w:cs="方正黑体_GBK" w:hAnsi="Times New Roman" w:hint="eastAsia"/>
          <w:sz w:val="32"/>
          <w:szCs w:val="32"/>
        </w:rPr>
        <w:t>一、主要职能</w:t>
      </w:r>
    </w:p>
    <w:p>
      <w:pPr>
        <w:pStyle w:val="106"/>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聊城海关是受济南海关直接领导，为正处级隶属海关。聊城海关管辖范围为聊城市的各项海关管理工作。主要负责党的基层组织建设和干部队伍建设；办理具体海关业务，反馈执法作业结果；完成济南海关交办的其他工作。</w:t>
      </w:r>
    </w:p>
    <w:p>
      <w:pPr>
        <w:pStyle w:val="106"/>
        <w:spacing w:line="560" w:lineRule="exact"/>
        <w:ind w:firstLineChars="200" w:firstLine="640"/>
        <w:rPr>
          <w:rFonts w:ascii="Times New Roman" w:eastAsia="方正黑体_GBK" w:cs="方正黑体_GBK" w:hAnsi="Times New Roman"/>
          <w:sz w:val="32"/>
          <w:szCs w:val="32"/>
        </w:rPr>
      </w:pPr>
      <w:r>
        <w:rPr>
          <w:rFonts w:ascii="Times New Roman" w:eastAsia="方正黑体_GBK" w:cs="方正黑体_GBK" w:hAnsi="Times New Roman" w:hint="eastAsia"/>
          <w:sz w:val="32"/>
          <w:szCs w:val="32"/>
        </w:rPr>
        <w:t>二、部门预算单位构成</w:t>
      </w:r>
    </w:p>
    <w:p>
      <w:pPr>
        <w:pStyle w:val="106"/>
        <w:autoSpaceDN w:val="0"/>
        <w:spacing w:line="560" w:lineRule="exact"/>
        <w:ind w:firstLineChars="200" w:firstLine="640"/>
        <w:rPr>
          <w:rFonts w:eastAsia="方正仿宋_GBK"/>
          <w:kern w:val="2"/>
          <w:sz w:val="32"/>
          <w:szCs w:val="20"/>
          <w:lang w:eastAsia="zh-CN"/>
        </w:rPr>
      </w:pPr>
      <w:r>
        <w:rPr>
          <w:rFonts w:ascii="Times New Roman" w:eastAsia="方正仿宋_GBK" w:cs="方正仿宋_GBK" w:hAnsi="Times New Roman" w:hint="eastAsia"/>
          <w:sz w:val="32"/>
          <w:szCs w:val="32"/>
        </w:rPr>
        <w:t>聊城海关内设正科级机构</w:t>
      </w:r>
      <w:r>
        <w:rPr>
          <w:rFonts w:ascii="Times New Roman" w:eastAsia="方正仿宋_GBK" w:cs="Times New Roman" w:hAnsi="Times New Roman"/>
          <w:sz w:val="32"/>
          <w:szCs w:val="32"/>
        </w:rPr>
        <w:t>8</w:t>
      </w:r>
      <w:r>
        <w:rPr>
          <w:rFonts w:ascii="Times New Roman" w:eastAsia="方正仿宋_GBK" w:cs="方正仿宋_GBK" w:hAnsi="Times New Roman" w:hint="eastAsia"/>
          <w:sz w:val="32"/>
          <w:szCs w:val="32"/>
        </w:rPr>
        <w:t>个，包括：办公室、综合业务科、稽查科、核查科、企业管理科、保税业务监管科、查检一科、查检二科。</w:t>
      </w:r>
      <w:r>
        <w:rPr>
          <w:rFonts w:eastAsia="方正仿宋_GBK"/>
          <w:kern w:val="2"/>
          <w:sz w:val="32"/>
          <w:szCs w:val="20"/>
          <w:lang w:eastAsia="zh-CN"/>
        </w:rPr>
        <w:t>另设济南海关技术中心聊城</w:t>
      </w:r>
      <w:bookmarkStart w:id="0" w:name="_GoBack"/>
      <w:bookmarkEnd w:id="0"/>
      <w:r>
        <w:rPr>
          <w:rFonts w:eastAsia="方正仿宋_GBK"/>
          <w:kern w:val="2"/>
          <w:sz w:val="32"/>
          <w:szCs w:val="20"/>
          <w:lang w:eastAsia="zh-CN"/>
        </w:rPr>
        <w:t>实验室。</w:t>
      </w:r>
    </w:p>
    <w:p>
      <w:pPr>
        <w:pStyle w:val="106"/>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纳入聊城海关</w:t>
      </w:r>
      <w:r>
        <w:rPr>
          <w:rFonts w:ascii="Times New Roman" w:eastAsia="方正仿宋_GBK" w:cs="Times New Roman" w:hAnsi="Times New Roman"/>
          <w:sz w:val="32"/>
          <w:szCs w:val="32"/>
        </w:rPr>
        <w:t>2024</w:t>
      </w:r>
      <w:r>
        <w:rPr>
          <w:rFonts w:ascii="Times New Roman" w:eastAsia="方正仿宋_GBK" w:cs="方正仿宋_GBK" w:hAnsi="Times New Roman" w:hint="eastAsia"/>
          <w:sz w:val="32"/>
          <w:szCs w:val="32"/>
        </w:rPr>
        <w:t>年部门预算编制范围的单位为中华人民共和国聊城海关。</w:t>
      </w:r>
    </w:p>
    <w:p>
      <w:pPr>
        <w:spacing w:line="560" w:lineRule="exact"/>
        <w:ind w:firstLineChars="200" w:firstLine="640"/>
        <w:rPr>
          <w:rFonts w:ascii="Times New Roman" w:eastAsia="方正仿宋_GBK" w:hAnsi="Times New Roman"/>
          <w:sz w:val="32"/>
          <w:szCs w:val="32"/>
        </w:rPr>
      </w:pPr>
    </w:p>
    <w:p>
      <w:pPr>
        <w:jc w:val="center"/>
        <w:rPr>
          <w:rFonts w:ascii="Times New Roman" w:eastAsia="方正仿宋_GBK" w:hAnsi="Times New Roman"/>
          <w:sz w:val="84"/>
          <w:szCs w:val="84"/>
        </w:rPr>
      </w:pPr>
      <w:r>
        <w:rPr>
          <w:rFonts w:ascii="Times New Roman" w:eastAsia="方正仿宋_GBK" w:hAnsi="Times New Roman"/>
          <w:sz w:val="32"/>
          <w:szCs w:val="32"/>
        </w:rPr>
        <w:br w:type="page"/>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宋体"/>
          <w:b/>
          <w:sz w:val="84"/>
          <w:szCs w:val="84"/>
        </w:rPr>
      </w:pPr>
      <w:r>
        <w:rPr>
          <w:rFonts w:ascii="宋体" w:hint="eastAsia"/>
          <w:b/>
          <w:sz w:val="84"/>
          <w:szCs w:val="84"/>
        </w:rPr>
        <w:t>第二部分</w:t>
      </w:r>
      <w:r>
        <w:rPr>
          <w:rFonts w:ascii="宋体"/>
          <w:b/>
          <w:sz w:val="84"/>
          <w:szCs w:val="84"/>
        </w:rPr>
        <w:t xml:space="preserve">  </w:t>
      </w:r>
    </w:p>
    <w:p>
      <w:pPr>
        <w:jc w:val="center"/>
        <w:rPr>
          <w:rFonts w:ascii="Times New Roman" w:cs="Times New Roman" w:hAnsi="Times New Roman"/>
          <w:b/>
          <w:sz w:val="84"/>
          <w:szCs w:val="84"/>
        </w:rPr>
      </w:pPr>
      <w:r>
        <w:rPr>
          <w:rFonts w:ascii="Times New Roman" w:cs="Times New Roman" w:hAnsi="Times New Roman"/>
          <w:b/>
          <w:sz w:val="84"/>
          <w:szCs w:val="84"/>
        </w:rPr>
        <w:t>聊城海关2024年</w:t>
      </w:r>
    </w:p>
    <w:p>
      <w:pPr>
        <w:jc w:val="center"/>
        <w:rPr>
          <w:rFonts w:ascii="Times New Roman" w:cs="Times New Roman" w:hAnsi="Times New Roman"/>
          <w:b/>
          <w:sz w:val="84"/>
          <w:szCs w:val="84"/>
        </w:rPr>
      </w:pPr>
      <w:r>
        <w:rPr>
          <w:rFonts w:ascii="Times New Roman" w:cs="Times New Roman" w:hAnsi="Times New Roman"/>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left"/>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13"/>
        <w:gridCol w:w="3570"/>
        <w:gridCol w:w="3465"/>
        <w:gridCol w:w="3462"/>
      </w:tblGrid>
      <w:tr>
        <w:trPr>
          <w:trHeight w:val="330"/>
        </w:trPr>
        <w:tc>
          <w:tcPr>
            <w:tcW w:w="3513" w:type="dxa"/>
            <w:tcBorders>
              <w:top w:val="nil"/>
              <w:left w:val="nil"/>
              <w:bottom w:val="nil"/>
              <w:right w:val="nil"/>
              <w:tl2br w:val="nil"/>
              <w:tr2bl w:val="nil"/>
            </w:tcBorders>
            <w:noWrap/>
            <w:vAlign w:val="center"/>
          </w:tcPr>
          <w:p>
            <w:pPr>
              <w:rPr>
                <w:rFonts w:ascii="宋体" w:eastAsia="宋体"/>
                <w:b w:val="0"/>
                <w:i w:val="0"/>
                <w:sz w:val="20"/>
              </w:rPr>
            </w:pPr>
          </w:p>
        </w:tc>
        <w:tc>
          <w:tcPr>
            <w:tcW w:w="3570" w:type="dxa"/>
            <w:tcBorders>
              <w:top w:val="nil"/>
              <w:left w:val="nil"/>
              <w:bottom w:val="nil"/>
              <w:right w:val="nil"/>
              <w:tl2br w:val="nil"/>
              <w:tr2bl w:val="nil"/>
            </w:tcBorders>
            <w:noWrap/>
            <w:vAlign w:val="center"/>
          </w:tcPr>
          <w:p>
            <w:pPr>
              <w:rPr>
                <w:rFonts w:ascii="宋体" w:eastAsia="宋体"/>
                <w:b w:val="0"/>
                <w:i w:val="0"/>
                <w:sz w:val="20"/>
              </w:rPr>
            </w:pPr>
          </w:p>
        </w:tc>
        <w:tc>
          <w:tcPr>
            <w:tcW w:w="3465" w:type="dxa"/>
            <w:tcBorders>
              <w:top w:val="nil"/>
              <w:left w:val="nil"/>
              <w:bottom w:val="nil"/>
              <w:right w:val="nil"/>
              <w:tl2br w:val="nil"/>
              <w:tr2bl w:val="nil"/>
            </w:tcBorders>
            <w:noWrap/>
            <w:vAlign w:val="center"/>
          </w:tcPr>
          <w:p>
            <w:pPr>
              <w:rPr>
                <w:rFonts w:ascii="宋体" w:eastAsia="宋体"/>
                <w:b w:val="0"/>
                <w:i w:val="0"/>
                <w:sz w:val="20"/>
              </w:rPr>
            </w:pPr>
          </w:p>
        </w:tc>
        <w:tc>
          <w:tcPr>
            <w:tcW w:w="3462"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1</w:t>
            </w:r>
          </w:p>
        </w:tc>
      </w:tr>
      <w:tr>
        <w:trPr>
          <w:trHeight w:val="660"/>
        </w:trPr>
        <w:tc>
          <w:tcPr>
            <w:tcW w:w="14010" w:type="dxa"/>
            <w:gridSpan w:val="4"/>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部门收支总表</w:t>
            </w:r>
          </w:p>
        </w:tc>
      </w:tr>
      <w:tr>
        <w:trPr>
          <w:trHeight w:val="349"/>
        </w:trPr>
        <w:tc>
          <w:tcPr>
            <w:tcW w:w="3513" w:type="dxa"/>
            <w:tcBorders>
              <w:top w:val="nil"/>
              <w:left w:val="nil"/>
              <w:bottom w:val="nil"/>
              <w:right w:val="nil"/>
              <w:tl2br w:val="nil"/>
              <w:tr2bl w:val="nil"/>
            </w:tcBorders>
            <w:noWrap/>
            <w:vAlign w:val="center"/>
          </w:tcPr>
          <w:p>
            <w:pPr>
              <w:rPr>
                <w:rFonts w:ascii="宋体" w:eastAsia="宋体"/>
                <w:b w:val="0"/>
                <w:i w:val="0"/>
                <w:color w:val="000000"/>
                <w:sz w:val="20"/>
              </w:rPr>
            </w:pPr>
            <w:r>
              <w:rPr>
                <w:rFonts w:ascii="宋体" w:eastAsia="宋体"/>
                <w:b w:val="0"/>
                <w:i w:val="0"/>
                <w:color w:val="000000"/>
                <w:sz w:val="20"/>
              </w:rPr>
              <w:t>单位：中华人民共和国聊城海关</w:t>
            </w:r>
          </w:p>
        </w:tc>
        <w:tc>
          <w:tcPr>
            <w:tcW w:w="3570" w:type="dxa"/>
            <w:tcBorders>
              <w:top w:val="nil"/>
              <w:left w:val="nil"/>
              <w:bottom w:val="nil"/>
              <w:right w:val="nil"/>
              <w:tl2br w:val="nil"/>
              <w:tr2bl w:val="nil"/>
            </w:tcBorders>
            <w:noWrap/>
            <w:vAlign w:val="center"/>
          </w:tcPr>
          <w:p>
            <w:pPr>
              <w:rPr>
                <w:rFonts w:ascii="宋体" w:eastAsia="宋体"/>
                <w:b w:val="0"/>
                <w:i w:val="0"/>
                <w:color w:val="000000"/>
                <w:sz w:val="18"/>
              </w:rPr>
            </w:pPr>
          </w:p>
        </w:tc>
        <w:tc>
          <w:tcPr>
            <w:tcW w:w="3465" w:type="dxa"/>
            <w:tcBorders>
              <w:top w:val="nil"/>
              <w:left w:val="nil"/>
              <w:bottom w:val="nil"/>
              <w:right w:val="nil"/>
              <w:tl2br w:val="nil"/>
              <w:tr2bl w:val="nil"/>
            </w:tcBorders>
            <w:noWrap/>
            <w:vAlign w:val="center"/>
          </w:tcPr>
          <w:p>
            <w:pPr>
              <w:rPr>
                <w:rFonts w:ascii="宋体" w:eastAsia="宋体"/>
                <w:b w:val="0"/>
                <w:i w:val="0"/>
                <w:color w:val="000000"/>
                <w:sz w:val="18"/>
              </w:rPr>
            </w:pPr>
          </w:p>
        </w:tc>
        <w:tc>
          <w:tcPr>
            <w:tcW w:w="3462" w:type="dxa"/>
            <w:tcBorders>
              <w:top w:val="nil"/>
              <w:left w:val="nil"/>
              <w:bottom w:val="nil"/>
              <w:right w:val="nil"/>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单位：万元</w:t>
            </w:r>
          </w:p>
        </w:tc>
      </w:tr>
      <w:tr>
        <w:trPr>
          <w:trHeight w:val="396"/>
        </w:trPr>
        <w:tc>
          <w:tcPr>
            <w:tcW w:w="708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w:t>
            </w:r>
          </w:p>
        </w:tc>
        <w:tc>
          <w:tcPr>
            <w:tcW w:w="692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支出</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一、一般公共预算拨款收入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826.78</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一、一般公共服务支出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1241.39</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二、政府性基金预算拨款收入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8"/>
              <w:rPr>
                <w:rFonts w:ascii="宋体" w:eastAsia="宋体"/>
                <w:b w:val="0"/>
                <w:i w:val="0"/>
                <w:sz w:val="20"/>
              </w:rPr>
            </w:pPr>
            <w:r>
              <w:rPr>
                <w:rFonts w:ascii="宋体" w:eastAsia="宋体"/>
                <w:b w:val="0"/>
                <w:i w:val="0"/>
                <w:sz w:val="20"/>
              </w:rPr>
              <w:t>二、社会保障和就业支出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09"/>
              <w:jc w:val="right"/>
              <w:rPr>
                <w:rFonts w:ascii="宋体" w:eastAsia="宋体"/>
                <w:b w:val="0"/>
                <w:i w:val="0"/>
                <w:sz w:val="20"/>
              </w:rPr>
            </w:pPr>
            <w:r>
              <w:rPr>
                <w:rFonts w:ascii="宋体" w:eastAsia="宋体"/>
                <w:b w:val="0"/>
                <w:i w:val="0"/>
                <w:sz w:val="20"/>
              </w:rPr>
              <w:t>163.09</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三、国有资本经营预算拨款收入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0"/>
              <w:rPr>
                <w:rFonts w:ascii="宋体" w:eastAsia="宋体"/>
                <w:b w:val="0"/>
                <w:i w:val="0"/>
                <w:sz w:val="20"/>
              </w:rPr>
            </w:pPr>
            <w:r>
              <w:rPr>
                <w:rFonts w:ascii="宋体" w:eastAsia="宋体"/>
                <w:b w:val="0"/>
                <w:i w:val="0"/>
                <w:sz w:val="20"/>
              </w:rPr>
              <w:t>三、卫生健康支出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1"/>
              <w:jc w:val="right"/>
              <w:rPr>
                <w:rFonts w:ascii="宋体" w:eastAsia="宋体"/>
                <w:b w:val="0"/>
                <w:i w:val="0"/>
                <w:sz w:val="20"/>
              </w:rPr>
            </w:pPr>
            <w:r>
              <w:rPr>
                <w:rFonts w:ascii="宋体" w:eastAsia="宋体"/>
                <w:b w:val="0"/>
                <w:i w:val="0"/>
                <w:sz w:val="20"/>
              </w:rPr>
              <w:t>56.74</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四、事业收入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2"/>
              <w:rPr>
                <w:rFonts w:ascii="宋体" w:eastAsia="宋体"/>
                <w:b w:val="0"/>
                <w:i w:val="0"/>
                <w:sz w:val="20"/>
              </w:rPr>
            </w:pPr>
            <w:r>
              <w:rPr>
                <w:rFonts w:ascii="宋体" w:eastAsia="宋体"/>
                <w:b w:val="0"/>
                <w:i w:val="0"/>
                <w:sz w:val="20"/>
              </w:rPr>
              <w:t>四、住房保障支出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3"/>
              <w:jc w:val="right"/>
              <w:rPr>
                <w:rFonts w:ascii="宋体" w:eastAsia="宋体"/>
                <w:b w:val="0"/>
                <w:i w:val="0"/>
                <w:sz w:val="20"/>
              </w:rPr>
            </w:pPr>
            <w:r>
              <w:rPr>
                <w:rFonts w:ascii="宋体" w:eastAsia="宋体"/>
                <w:b w:val="0"/>
                <w:i w:val="0"/>
                <w:sz w:val="20"/>
              </w:rPr>
              <w:t>179.54</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五、事业单位经营收入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六、其他收入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686.33</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sz w:val="20"/>
              </w:rPr>
            </w:pPr>
            <w:r>
              <w:rPr>
                <w:rFonts w:ascii="宋体" w:eastAsia="宋体"/>
                <w:b w:val="0"/>
                <w:i w:val="0"/>
                <w:sz w:val="20"/>
              </w:rPr>
              <w:t>本年收入合计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1513.11</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sz w:val="20"/>
              </w:rPr>
            </w:pPr>
            <w:r>
              <w:rPr>
                <w:rFonts w:ascii="宋体" w:eastAsia="宋体"/>
                <w:b w:val="0"/>
                <w:i w:val="0"/>
                <w:sz w:val="20"/>
              </w:rPr>
              <w:t>本年支出合计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1640.76</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使用非财政拨款结余</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结转下年（非财政拨款）</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上年结转</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127.65</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收入总计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1640.76</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支出总计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1640.76</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4"/>
        <w:gridCol w:w="974"/>
        <w:gridCol w:w="1124"/>
        <w:gridCol w:w="1124"/>
        <w:gridCol w:w="1124"/>
        <w:gridCol w:w="1563"/>
        <w:gridCol w:w="1261"/>
        <w:gridCol w:w="944"/>
        <w:gridCol w:w="1154"/>
        <w:gridCol w:w="1054"/>
        <w:gridCol w:w="1260"/>
        <w:gridCol w:w="1364"/>
      </w:tblGrid>
      <w:tr>
        <w:trPr>
          <w:trHeight w:val="329"/>
        </w:trPr>
        <w:tc>
          <w:tcPr>
            <w:tcW w:w="106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974" w:type="dxa"/>
            <w:tcBorders>
              <w:top w:val="nil"/>
              <w:left w:val="nil"/>
              <w:bottom w:val="nil"/>
              <w:right w:val="nil"/>
              <w:tl2br w:val="nil"/>
              <w:tr2bl w:val="nil"/>
            </w:tcBorders>
            <w:noWrap/>
            <w:vAlign w:val="center"/>
          </w:tcPr>
          <w:p>
            <w:pPr>
              <w:rPr>
                <w:rFonts w:ascii="宋体" w:eastAsia="宋体"/>
                <w:b w:val="0"/>
                <w:i w:val="0"/>
                <w:sz w:val="20"/>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563"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260"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94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5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05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260"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364"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2</w:t>
            </w:r>
          </w:p>
        </w:tc>
      </w:tr>
      <w:tr>
        <w:trPr>
          <w:trHeight w:val="704"/>
        </w:trPr>
        <w:tc>
          <w:tcPr>
            <w:tcW w:w="12646" w:type="dxa"/>
            <w:gridSpan w:val="11"/>
            <w:tcBorders>
              <w:top w:val="nil"/>
              <w:left w:val="nil"/>
              <w:bottom w:val="nil"/>
              <w:right w:val="nil"/>
              <w:tl2br w:val="nil"/>
              <w:tr2bl w:val="nil"/>
            </w:tcBorders>
            <w:noWrap/>
            <w:vAlign w:val="center"/>
          </w:tcPr>
          <w:p>
            <w:pPr>
              <w:jc w:val="center"/>
              <w:rPr>
                <w:rFonts w:ascii="宋体" w:eastAsia="宋体"/>
                <w:b/>
                <w:i w:val="0"/>
                <w:sz w:val="48"/>
              </w:rPr>
            </w:pPr>
            <w:r>
              <w:rPr>
                <w:rFonts w:ascii="宋体" w:eastAsia="宋体"/>
                <w:b/>
                <w:i w:val="0"/>
                <w:sz w:val="48"/>
              </w:rPr>
              <w:t xml:space="preserve">     部门收入总表</w:t>
            </w:r>
          </w:p>
        </w:tc>
        <w:tc>
          <w:tcPr>
            <w:tcW w:w="1364" w:type="dxa"/>
            <w:tcBorders>
              <w:top w:val="nil"/>
              <w:left w:val="nil"/>
              <w:bottom w:val="nil"/>
              <w:right w:val="nil"/>
              <w:tl2br w:val="nil"/>
              <w:tr2bl w:val="nil"/>
            </w:tcBorders>
            <w:noWrap/>
            <w:vAlign w:val="bottom"/>
          </w:tcPr>
          <w:p>
            <w:pPr>
              <w:rPr>
                <w:rFonts w:ascii="Calibri" w:eastAsia="Calibri" w:hAnsi="Calibri"/>
                <w:b w:val="0"/>
                <w:i w:val="0"/>
                <w:sz w:val="24"/>
              </w:rPr>
            </w:pPr>
          </w:p>
        </w:tc>
      </w:tr>
      <w:tr>
        <w:trPr>
          <w:trHeight w:val="284"/>
        </w:trPr>
        <w:tc>
          <w:tcPr>
            <w:tcW w:w="11386" w:type="dxa"/>
            <w:gridSpan w:val="10"/>
            <w:tcBorders>
              <w:top w:val="nil"/>
              <w:left w:val="nil"/>
              <w:bottom w:val="single" w:sz="6" w:space="0" w:color="000000"/>
              <w:right w:val="nil"/>
              <w:tl2br w:val="nil"/>
              <w:tr2bl w:val="nil"/>
            </w:tcBorders>
            <w:noWrap/>
            <w:vAlign w:val="center"/>
          </w:tcPr>
          <w:p>
            <w:pPr>
              <w:rPr>
                <w:rFonts w:ascii="宋体" w:eastAsia="宋体"/>
                <w:b w:val="0"/>
                <w:i w:val="0"/>
                <w:color w:val="000000"/>
                <w:sz w:val="16"/>
              </w:rPr>
            </w:pPr>
            <w:r>
              <w:rPr>
                <w:rFonts w:ascii="宋体" w:eastAsia="宋体"/>
                <w:b w:val="0"/>
                <w:i w:val="0"/>
                <w:color w:val="000000"/>
                <w:sz w:val="16"/>
              </w:rPr>
              <w:t>单位：中华人民共和国聊城海关</w:t>
            </w:r>
          </w:p>
        </w:tc>
        <w:tc>
          <w:tcPr>
            <w:tcW w:w="2624" w:type="dxa"/>
            <w:gridSpan w:val="2"/>
            <w:tcBorders>
              <w:top w:val="nil"/>
              <w:left w:val="nil"/>
              <w:bottom w:val="nil"/>
              <w:right w:val="nil"/>
              <w:tl2br w:val="nil"/>
              <w:tr2bl w:val="nil"/>
            </w:tcBorders>
            <w:noWrap/>
            <w:vAlign w:val="center"/>
          </w:tcPr>
          <w:p>
            <w:pPr>
              <w:jc w:val="right"/>
              <w:rPr>
                <w:rFonts w:ascii="宋体" w:eastAsia="宋体"/>
                <w:b w:val="0"/>
                <w:i w:val="0"/>
                <w:color w:val="000000"/>
                <w:sz w:val="16"/>
              </w:rPr>
            </w:pPr>
            <w:r>
              <w:rPr>
                <w:rFonts w:ascii="宋体" w:eastAsia="宋体"/>
                <w:b w:val="0"/>
                <w:i w:val="0"/>
                <w:color w:val="000000"/>
                <w:sz w:val="16"/>
              </w:rPr>
              <w:t>单位：万元</w:t>
            </w:r>
          </w:p>
        </w:tc>
      </w:tr>
      <w:tr>
        <w:trPr>
          <w:trHeight w:val="359"/>
        </w:trPr>
        <w:tc>
          <w:tcPr>
            <w:tcW w:w="10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合计</w:t>
            </w:r>
          </w:p>
        </w:tc>
        <w:tc>
          <w:tcPr>
            <w:tcW w:w="97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上年结转</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一般公共预算拨款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政府性基金预算拨款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国有资本经营预算拨款</w:t>
            </w:r>
          </w:p>
        </w:tc>
        <w:tc>
          <w:tcPr>
            <w:tcW w:w="282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事业收入</w:t>
            </w:r>
          </w:p>
        </w:tc>
        <w:tc>
          <w:tcPr>
            <w:tcW w:w="94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事业单位经营收入</w:t>
            </w:r>
          </w:p>
        </w:tc>
        <w:tc>
          <w:tcPr>
            <w:tcW w:w="11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16"/>
              </w:rPr>
            </w:pPr>
            <w:r>
              <w:rPr>
                <w:rFonts w:ascii="宋体"/>
                <w:b w:val="0"/>
                <w:i w:val="0"/>
                <w:strike w:val="0"/>
                <w:dstrike w:val="0"/>
                <w:color w:val="000000"/>
                <w:sz w:val="16"/>
              </w:rPr>
              <w:t>上级补助</w:t>
              <w:br/>
              <w:t>收入</w:t>
            </w:r>
          </w:p>
        </w:tc>
        <w:tc>
          <w:tcPr>
            <w:tcW w:w="10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16"/>
              </w:rPr>
            </w:pPr>
            <w:r>
              <w:rPr>
                <w:rFonts w:ascii="宋体"/>
                <w:b w:val="0"/>
                <w:i w:val="0"/>
                <w:strike w:val="0"/>
                <w:dstrike w:val="0"/>
                <w:color w:val="000000"/>
                <w:sz w:val="16"/>
              </w:rPr>
              <w:t>附属单位</w:t>
              <w:br/>
              <w:t>上缴收入</w:t>
            </w:r>
          </w:p>
        </w:tc>
        <w:tc>
          <w:tcPr>
            <w:tcW w:w="126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其他收入</w:t>
            </w:r>
          </w:p>
        </w:tc>
        <w:tc>
          <w:tcPr>
            <w:tcW w:w="13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4"/>
              <w:jc w:val="center"/>
              <w:rPr>
                <w:rFonts w:ascii="宋体" w:eastAsia="宋体"/>
                <w:b w:val="0"/>
                <w:i w:val="0"/>
                <w:color w:val="000000"/>
                <w:sz w:val="16"/>
              </w:rPr>
            </w:pPr>
            <w:r>
              <w:rPr>
                <w:rFonts w:ascii="宋体" w:eastAsia="宋体"/>
                <w:b w:val="0"/>
                <w:i w:val="0"/>
                <w:color w:val="000000"/>
                <w:sz w:val="16"/>
              </w:rPr>
              <w:t>使用非财政拨款结余</w:t>
            </w:r>
          </w:p>
        </w:tc>
      </w:tr>
      <w:tr>
        <w:trPr>
          <w:trHeight w:val="539"/>
        </w:trPr>
        <w:tc>
          <w:tcPr>
            <w:tcW w:w="106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金额</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其中：财政专户管理资金</w:t>
            </w:r>
          </w:p>
        </w:tc>
        <w:tc>
          <w:tcPr>
            <w:tcW w:w="94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26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613"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674"/>
        </w:trPr>
        <w:tc>
          <w:tcPr>
            <w:tcW w:w="10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1640.76</w:t>
            </w:r>
          </w:p>
        </w:tc>
        <w:tc>
          <w:tcPr>
            <w:tcW w:w="9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127.65</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826.78</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1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686.33</w:t>
            </w:r>
          </w:p>
        </w:tc>
        <w:tc>
          <w:tcPr>
            <w:tcW w:w="13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73"/>
        <w:gridCol w:w="3481"/>
        <w:gridCol w:w="1186"/>
        <w:gridCol w:w="1186"/>
        <w:gridCol w:w="1084"/>
        <w:gridCol w:w="1474"/>
        <w:gridCol w:w="1886"/>
        <w:gridCol w:w="2080"/>
      </w:tblGrid>
      <w:tr>
        <w:trPr>
          <w:trHeight w:val="313"/>
        </w:trPr>
        <w:tc>
          <w:tcPr>
            <w:tcW w:w="399"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1294"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441"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441"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403"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548" w:type="pct"/>
            <w:tcBorders>
              <w:top w:val="nil"/>
              <w:left w:val="nil"/>
              <w:bottom w:val="nil"/>
              <w:right w:val="nil"/>
              <w:tl2br w:val="nil"/>
              <w:tr2bl w:val="nil"/>
            </w:tcBorders>
            <w:noWrap/>
            <w:vAlign w:val="bottom"/>
          </w:tcPr>
          <w:p>
            <w:pPr>
              <w:rPr>
                <w:rFonts w:ascii="Calibri" w:eastAsia="Calibri" w:hAnsi="Calibri"/>
                <w:b w:val="0"/>
                <w:i w:val="0"/>
                <w:sz w:val="24"/>
              </w:rPr>
            </w:pPr>
          </w:p>
        </w:tc>
        <w:tc>
          <w:tcPr>
            <w:tcW w:w="1470" w:type="pct"/>
            <w:gridSpan w:val="2"/>
            <w:tcBorders>
              <w:top w:val="nil"/>
              <w:left w:val="nil"/>
              <w:bottom w:val="nil"/>
              <w:right w:val="nil"/>
              <w:tl2br w:val="nil"/>
              <w:tr2bl w:val="nil"/>
            </w:tcBorders>
            <w:noWrap/>
            <w:vAlign w:val="bottom"/>
          </w:tcPr>
          <w:p>
            <w:pPr>
              <w:pStyle w:val="37"/>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3</w:t>
            </w:r>
          </w:p>
        </w:tc>
      </w:tr>
      <w:tr>
        <w:trPr>
          <w:trHeight w:val="613"/>
        </w:trPr>
        <w:tc>
          <w:tcPr>
            <w:tcW w:w="5000" w:type="pct"/>
            <w:gridSpan w:val="8"/>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部门支出总表</w:t>
            </w:r>
          </w:p>
        </w:tc>
      </w:tr>
      <w:tr>
        <w:trPr>
          <w:trHeight w:val="313"/>
        </w:trPr>
        <w:tc>
          <w:tcPr>
            <w:tcW w:w="4227" w:type="pct"/>
            <w:gridSpan w:val="7"/>
            <w:tcBorders>
              <w:top w:val="nil"/>
              <w:left w:val="nil"/>
              <w:bottom w:val="nil"/>
              <w:right w:val="nil"/>
              <w:tl2br w:val="nil"/>
              <w:tr2bl w:val="nil"/>
            </w:tcBorders>
            <w:noWrap/>
            <w:vAlign w:val="center"/>
          </w:tcPr>
          <w:p>
            <w:pPr>
              <w:rPr>
                <w:rFonts w:ascii="宋体" w:eastAsia="宋体"/>
                <w:b w:val="0"/>
                <w:i w:val="0"/>
                <w:color w:val="000000"/>
                <w:sz w:val="16"/>
              </w:rPr>
            </w:pPr>
            <w:r>
              <w:rPr>
                <w:rFonts w:ascii="宋体" w:eastAsia="宋体"/>
                <w:b w:val="0"/>
                <w:i w:val="0"/>
                <w:color w:val="000000"/>
                <w:sz w:val="16"/>
              </w:rPr>
              <w:t>单位：中华人民共和国聊城海关</w:t>
            </w:r>
          </w:p>
        </w:tc>
        <w:tc>
          <w:tcPr>
            <w:tcW w:w="772" w:type="pct"/>
            <w:tcBorders>
              <w:top w:val="nil"/>
              <w:left w:val="nil"/>
              <w:bottom w:val="nil"/>
              <w:right w:val="nil"/>
              <w:tl2br w:val="nil"/>
              <w:tr2bl w:val="nil"/>
            </w:tcBorders>
            <w:noWrap/>
            <w:vAlign w:val="center"/>
          </w:tcPr>
          <w:p>
            <w:pPr>
              <w:jc w:val="right"/>
              <w:rPr>
                <w:rFonts w:ascii="宋体" w:eastAsia="宋体"/>
                <w:b w:val="0"/>
                <w:i w:val="0"/>
                <w:color w:val="000000"/>
                <w:sz w:val="16"/>
              </w:rPr>
            </w:pPr>
            <w:r>
              <w:rPr>
                <w:rFonts w:ascii="宋体" w:eastAsia="宋体"/>
                <w:b w:val="0"/>
                <w:i w:val="0"/>
                <w:color w:val="000000"/>
                <w:sz w:val="16"/>
              </w:rPr>
              <w:t>单位：万元</w:t>
            </w:r>
          </w:p>
        </w:tc>
      </w:tr>
      <w:tr>
        <w:trPr>
          <w:trHeight w:val="293"/>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科目代码</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科目名称</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合计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基本支出</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项目支出</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上缴上级支出</w:t>
            </w: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事业单位经营支出</w:t>
            </w: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对附属单位补助支出</w:t>
            </w: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一般公共服务支出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1241.39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1197.71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43.68</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20109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海关事务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1241.39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1197.71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43.68</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2010901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行政运行</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1197.71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1197.71</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2010905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缉私办案</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4</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2010909</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海关关务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30.18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30.18</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2010911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海关监管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2010912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检验检疫</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8.5</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8.5</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208</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社会保障和就业支出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163.09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163.09</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20805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行政事业单位养老支出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163.09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163.09</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2080501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行政单位离退休</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9.28</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9.28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351"/>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2080505</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机关事业单位基本养老保险缴费支出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102.54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102.54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7"/>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2080506</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机关事业单位职业年金缴费支出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51.27</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51.27</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210</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卫生健康支出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56.74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56.74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21011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行政事业单位医疗</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56.74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56.74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2101101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行政单位医疗</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44.74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44.74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2101103</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公务员医疗补助</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12</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12</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221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住房保障支出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179.54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179.54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22102</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住房改革支出</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179.54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179.54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2210201</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住房公积金</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99</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99</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399"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2210203</w:t>
            </w:r>
          </w:p>
        </w:tc>
        <w:tc>
          <w:tcPr>
            <w:tcW w:w="1294" w:type="pct"/>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6"/>
              </w:rPr>
            </w:pPr>
            <w:r>
              <w:rPr>
                <w:rFonts w:ascii="宋体" w:eastAsia="宋体"/>
                <w:b w:val="0"/>
                <w:i w:val="0"/>
                <w:sz w:val="16"/>
              </w:rPr>
              <w:t>购房补贴</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80.54</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80.54</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r>
        <w:trPr>
          <w:trHeight w:val="298"/>
        </w:trPr>
        <w:tc>
          <w:tcPr>
            <w:tcW w:w="1693" w:type="pct"/>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i w:val="0"/>
                <w:strike w:val="0"/>
                <w:dstrike w:val="0"/>
                <w:color w:val="auto"/>
                <w:sz w:val="16"/>
              </w:rPr>
            </w:pPr>
            <w:r>
              <w:rPr>
                <w:rFonts w:ascii="宋体"/>
                <w:b/>
                <w:i w:val="0"/>
                <w:strike w:val="0"/>
                <w:dstrike w:val="0"/>
                <w:color w:val="auto"/>
                <w:sz w:val="16"/>
              </w:rPr>
              <w:t>合计</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r>
              <w:rPr>
                <w:rFonts w:ascii="宋体" w:eastAsia="宋体"/>
                <w:b/>
                <w:i w:val="0"/>
                <w:sz w:val="16"/>
              </w:rPr>
              <w:t>1640.76</w:t>
            </w:r>
          </w:p>
        </w:tc>
        <w:tc>
          <w:tcPr>
            <w:tcW w:w="441"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r>
              <w:rPr>
                <w:rFonts w:ascii="宋体" w:eastAsia="宋体"/>
                <w:b/>
                <w:i w:val="0"/>
                <w:sz w:val="16"/>
              </w:rPr>
              <w:t>1597.08</w:t>
            </w:r>
          </w:p>
        </w:tc>
        <w:tc>
          <w:tcPr>
            <w:tcW w:w="403"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r>
              <w:rPr>
                <w:rFonts w:ascii="宋体" w:eastAsia="宋体"/>
                <w:b/>
                <w:i w:val="0"/>
                <w:sz w:val="16"/>
              </w:rPr>
              <w:t>43.68</w:t>
            </w:r>
          </w:p>
        </w:tc>
        <w:tc>
          <w:tcPr>
            <w:tcW w:w="54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p>
        </w:tc>
        <w:tc>
          <w:tcPr>
            <w:tcW w:w="698"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p>
        </w:tc>
        <w:tc>
          <w:tcPr>
            <w:tcW w:w="772" w:type="pct"/>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6"/>
              </w:rPr>
            </w:pP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6838" w:h="11906" w:orient="landscape"/>
          <w:pgMar w:top="1440" w:right="1800" w:bottom="1440" w:left="1800" w:header="851" w:footer="992" w:gutter="0"/>
          <w:docGrid w:type="lines" w:linePitch="312" w:charSpace="0"/>
        </w:sectPr>
      </w:pPr>
    </w:p>
    <w:tbl>
      <w:tblPr>
        <w:jc w:val="left"/>
        <w:tblW w:w="1401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01"/>
        <w:gridCol w:w="3505"/>
        <w:gridCol w:w="3503"/>
        <w:gridCol w:w="3503"/>
      </w:tblGrid>
      <w:tr>
        <w:trPr>
          <w:trHeight w:val="335"/>
        </w:trPr>
        <w:tc>
          <w:tcPr>
            <w:tcW w:w="3501"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3"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3"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4</w:t>
            </w:r>
          </w:p>
        </w:tc>
      </w:tr>
      <w:tr>
        <w:trPr>
          <w:trHeight w:val="670"/>
        </w:trPr>
        <w:tc>
          <w:tcPr>
            <w:tcW w:w="14011" w:type="dxa"/>
            <w:gridSpan w:val="4"/>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财政拨款收支总表</w:t>
            </w:r>
          </w:p>
        </w:tc>
      </w:tr>
      <w:tr>
        <w:trPr>
          <w:trHeight w:val="317"/>
        </w:trPr>
        <w:tc>
          <w:tcPr>
            <w:tcW w:w="10508" w:type="dxa"/>
            <w:gridSpan w:val="3"/>
            <w:tcBorders>
              <w:top w:val="nil"/>
              <w:left w:val="nil"/>
              <w:bottom w:val="nil"/>
              <w:right w:val="nil"/>
              <w:tl2br w:val="nil"/>
              <w:tr2bl w:val="nil"/>
            </w:tcBorders>
            <w:noWrap/>
            <w:vAlign w:val="center"/>
          </w:tcPr>
          <w:p>
            <w:pPr>
              <w:rPr>
                <w:rFonts w:ascii="宋体" w:eastAsia="宋体"/>
                <w:b w:val="0"/>
                <w:i w:val="0"/>
                <w:color w:val="000000"/>
                <w:sz w:val="20"/>
              </w:rPr>
            </w:pPr>
            <w:r>
              <w:rPr>
                <w:rFonts w:ascii="宋体" w:eastAsia="宋体"/>
                <w:b w:val="0"/>
                <w:i w:val="0"/>
                <w:color w:val="000000"/>
                <w:sz w:val="20"/>
              </w:rPr>
              <w:t>单位：中华人民共和国聊城海关</w:t>
            </w:r>
          </w:p>
        </w:tc>
        <w:tc>
          <w:tcPr>
            <w:tcW w:w="3503"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宋体" w:eastAsia="宋体"/>
                <w:b w:val="0"/>
                <w:i w:val="0"/>
                <w:color w:val="000000"/>
                <w:sz w:val="20"/>
              </w:rPr>
              <w:t>单位：万元</w:t>
            </w:r>
          </w:p>
        </w:tc>
      </w:tr>
      <w:tr>
        <w:trPr>
          <w:trHeight w:val="381"/>
        </w:trPr>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w:t>
            </w:r>
          </w:p>
        </w:tc>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支出</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项目</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项目</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一、本年收入</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826.78</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一、本年支出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826.78</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826.78</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（一）一般公共服务支出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617.41</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4"/>
              <w:rPr>
                <w:rFonts w:ascii="宋体" w:eastAsia="宋体"/>
                <w:b w:val="0"/>
                <w:i w:val="0"/>
                <w:color w:val="000000"/>
                <w:sz w:val="18"/>
              </w:rPr>
            </w:pPr>
            <w:r>
              <w:rPr>
                <w:rFonts w:ascii="宋体" w:eastAsia="宋体"/>
                <w:b w:val="0"/>
                <w:i w:val="0"/>
                <w:color w:val="000000"/>
                <w:sz w:val="18"/>
              </w:rPr>
              <w:t>（二）社会保障和就业支出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5"/>
              <w:jc w:val="right"/>
              <w:rPr>
                <w:rFonts w:ascii="宋体" w:eastAsia="宋体"/>
                <w:b w:val="0"/>
                <w:i w:val="0"/>
                <w:color w:val="000000"/>
                <w:sz w:val="18"/>
              </w:rPr>
            </w:pPr>
            <w:r>
              <w:rPr>
                <w:rFonts w:ascii="宋体" w:eastAsia="宋体"/>
                <w:b w:val="0"/>
                <w:i w:val="0"/>
                <w:color w:val="000000"/>
                <w:sz w:val="18"/>
              </w:rPr>
              <w:t>88.09</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6"/>
              <w:rPr>
                <w:rFonts w:ascii="宋体" w:eastAsia="宋体"/>
                <w:b w:val="0"/>
                <w:i w:val="0"/>
                <w:color w:val="000000"/>
                <w:sz w:val="18"/>
              </w:rPr>
            </w:pPr>
            <w:r>
              <w:rPr>
                <w:rFonts w:ascii="宋体" w:eastAsia="宋体"/>
                <w:b w:val="0"/>
                <w:i w:val="0"/>
                <w:color w:val="000000"/>
                <w:sz w:val="18"/>
              </w:rPr>
              <w:t>（三）卫生健康支出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7"/>
              <w:jc w:val="right"/>
              <w:rPr>
                <w:rFonts w:ascii="宋体" w:eastAsia="宋体"/>
                <w:b w:val="0"/>
                <w:i w:val="0"/>
                <w:color w:val="000000"/>
                <w:sz w:val="18"/>
              </w:rPr>
            </w:pPr>
            <w:r>
              <w:rPr>
                <w:rFonts w:ascii="宋体" w:eastAsia="宋体"/>
                <w:b w:val="0"/>
                <w:i w:val="0"/>
                <w:color w:val="000000"/>
                <w:sz w:val="18"/>
              </w:rPr>
              <w:t>31.74</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8"/>
              <w:rPr>
                <w:rFonts w:ascii="宋体" w:eastAsia="宋体"/>
                <w:b w:val="0"/>
                <w:i w:val="0"/>
                <w:color w:val="000000"/>
                <w:sz w:val="18"/>
              </w:rPr>
            </w:pPr>
            <w:r>
              <w:rPr>
                <w:rFonts w:ascii="宋体" w:eastAsia="宋体"/>
                <w:b w:val="0"/>
                <w:i w:val="0"/>
                <w:color w:val="000000"/>
                <w:sz w:val="18"/>
              </w:rPr>
              <w:t>（四）住房保障支出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19"/>
              <w:jc w:val="right"/>
              <w:rPr>
                <w:rFonts w:ascii="宋体" w:eastAsia="宋体"/>
                <w:b w:val="0"/>
                <w:i w:val="0"/>
                <w:color w:val="000000"/>
                <w:sz w:val="18"/>
              </w:rPr>
            </w:pPr>
            <w:r>
              <w:rPr>
                <w:rFonts w:ascii="宋体" w:eastAsia="宋体"/>
                <w:b w:val="0"/>
                <w:i w:val="0"/>
                <w:color w:val="000000"/>
                <w:sz w:val="18"/>
              </w:rPr>
              <w:t>89.54</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二、上年结转</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收入总计</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826.78</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支出总计</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826.78</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3" w:type="dxa"/>
        <w:tblW w:w="148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20"/>
        <w:gridCol w:w="3000"/>
        <w:gridCol w:w="1080"/>
        <w:gridCol w:w="1080"/>
        <w:gridCol w:w="1080"/>
        <w:gridCol w:w="1080"/>
        <w:gridCol w:w="1080"/>
        <w:gridCol w:w="1080"/>
        <w:gridCol w:w="1080"/>
        <w:gridCol w:w="1080"/>
        <w:gridCol w:w="1080"/>
        <w:gridCol w:w="1080"/>
      </w:tblGrid>
      <w:tr>
        <w:trPr>
          <w:trHeight w:val="270"/>
        </w:trPr>
        <w:tc>
          <w:tcPr>
            <w:tcW w:w="14818" w:type="dxa"/>
            <w:gridSpan w:val="12"/>
            <w:tcBorders>
              <w:top w:val="nil"/>
              <w:left w:val="nil"/>
              <w:bottom w:val="nil"/>
              <w:right w:val="nil"/>
            </w:tcBorders>
            <w:shd w:val="clear" w:color="auto" w:fill="auto"/>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部门公开表5</w:t>
            </w:r>
          </w:p>
        </w:tc>
      </w:tr>
      <w:tr>
        <w:trPr>
          <w:trHeight w:val="450"/>
        </w:trPr>
        <w:tc>
          <w:tcPr>
            <w:tcW w:w="14818" w:type="dxa"/>
            <w:gridSpan w:val="12"/>
            <w:tcBorders>
              <w:top w:val="nil"/>
              <w:left w:val="nil"/>
              <w:bottom w:val="nil"/>
              <w:right w:val="nil"/>
            </w:tcBorders>
            <w:shd w:val="clear" w:color="auto" w:fill="auto"/>
            <w:vAlign w:val="center"/>
          </w:tcPr>
          <w:p>
            <w:pPr>
              <w:jc w:val="center"/>
              <w:rPr>
                <w:rFonts w:ascii="宋体" w:cs="宋体"/>
                <w:color w:val="000000"/>
                <w:kern w:val="0"/>
                <w:sz w:val="36"/>
                <w:szCs w:val="36"/>
              </w:rPr>
            </w:pPr>
            <w:r>
              <w:rPr>
                <w:rFonts w:ascii="宋体" w:cs="宋体" w:hint="eastAsia"/>
                <w:b/>
                <w:color w:val="000000"/>
                <w:sz w:val="48"/>
              </w:rPr>
              <w:t>一般公共预算支出表</w:t>
            </w:r>
          </w:p>
        </w:tc>
      </w:tr>
      <w:tr>
        <w:trPr>
          <w:trHeight w:val="285"/>
        </w:trPr>
        <w:tc>
          <w:tcPr>
            <w:tcW w:w="4020" w:type="dxa"/>
            <w:gridSpan w:val="2"/>
            <w:tcBorders>
              <w:top w:val="nil"/>
              <w:left w:val="nil"/>
              <w:bottom w:val="single" w:sz="8" w:space="0" w:color="auto"/>
              <w:right w:val="nil"/>
            </w:tcBorders>
            <w:shd w:val="clear" w:color="auto" w:fill="auto"/>
            <w:vAlign w:val="center"/>
          </w:tcPr>
          <w:p>
            <w:pPr>
              <w:widowControl/>
              <w:rPr>
                <w:rFonts w:ascii="宋体" w:cs="宋体" w:hint="eastAsia"/>
                <w:color w:val="000000"/>
                <w:kern w:val="0"/>
                <w:sz w:val="16"/>
                <w:szCs w:val="16"/>
              </w:rPr>
            </w:pPr>
            <w:r>
              <w:rPr>
                <w:rFonts w:ascii="宋体" w:cs="宋体" w:hint="eastAsia"/>
                <w:color w:val="000000"/>
                <w:kern w:val="0"/>
                <w:sz w:val="16"/>
                <w:szCs w:val="16"/>
              </w:rPr>
              <w:t>单位：中华人民共和国</w:t>
            </w:r>
            <w:r>
              <w:rPr>
                <w:rFonts w:ascii="宋体" w:cs="宋体"/>
                <w:color w:val="000000"/>
                <w:kern w:val="0"/>
                <w:sz w:val="16"/>
                <w:szCs w:val="16"/>
              </w:rPr>
              <w:t>聊城</w:t>
            </w:r>
            <w:r>
              <w:rPr>
                <w:rFonts w:ascii="宋体" w:cs="宋体" w:hint="eastAsia"/>
                <w:color w:val="000000"/>
                <w:kern w:val="0"/>
                <w:sz w:val="16"/>
                <w:szCs w:val="16"/>
              </w:rPr>
              <w:t>海关</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nil"/>
              <w:right w:val="nil"/>
            </w:tcBorders>
            <w:shd w:val="clear" w:color="auto" w:fill="auto"/>
            <w:noWrap/>
            <w:vAlign w:val="center"/>
          </w:tcPr>
          <w:p>
            <w:pPr>
              <w:widowControl/>
              <w:jc w:val="right"/>
              <w:rPr>
                <w:rFonts w:ascii="宋体" w:cs="宋体" w:hint="eastAsia"/>
                <w:color w:val="000000"/>
                <w:kern w:val="0"/>
                <w:sz w:val="16"/>
                <w:szCs w:val="16"/>
              </w:rPr>
            </w:pPr>
            <w:r>
              <w:rPr>
                <w:rFonts w:ascii="宋体" w:cs="宋体" w:hint="eastAsia"/>
                <w:color w:val="000000"/>
                <w:kern w:val="0"/>
                <w:sz w:val="16"/>
                <w:szCs w:val="16"/>
              </w:rPr>
              <w:t>单位：万元</w:t>
            </w:r>
          </w:p>
        </w:tc>
      </w:tr>
      <w:tr>
        <w:trPr>
          <w:trHeight w:val="285"/>
        </w:trPr>
        <w:tc>
          <w:tcPr>
            <w:tcW w:w="402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4319"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w:t>
            </w:r>
          </w:p>
        </w:tc>
        <w:tc>
          <w:tcPr>
            <w:tcW w:w="2160"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c>
          <w:tcPr>
            <w:tcW w:w="2160"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2160"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60"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0"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85"/>
        </w:trPr>
        <w:tc>
          <w:tcPr>
            <w:tcW w:w="102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扣除中央基建投资后执行数</w:t>
            </w:r>
          </w:p>
        </w:tc>
        <w:tc>
          <w:tcPr>
            <w:tcW w:w="3239"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300"/>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一般公共服务支出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713.27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709.32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617.41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573.73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43.68</w:t>
            </w:r>
          </w:p>
        </w:tc>
        <w:tc>
          <w:tcPr>
            <w:tcW w:w="1080" w:type="dxa"/>
            <w:tcBorders>
              <w:top w:val="nil"/>
              <w:left w:val="nil"/>
              <w:bottom w:val="single" w:sz="8" w:space="0" w:color="auto"/>
              <w:right w:val="single" w:sz="8" w:space="0" w:color="auto"/>
            </w:tcBorders>
            <w:shd w:val="clear" w:color="auto" w:fill="auto"/>
            <w:noWrap/>
            <w:vAlign w:val="center"/>
          </w:tcPr>
          <w:p>
            <w:pPr>
              <w:pStyle w:val="55"/>
              <w:rPr>
                <w:rFonts w:ascii="宋体" w:eastAsia="宋体" w:cs="宋体"/>
                <w:b w:val="0"/>
                <w:i w:val="0"/>
                <w:sz w:val="22"/>
              </w:rPr>
            </w:pPr>
            <w:r>
              <w:rPr>
                <w:rFonts w:ascii="宋体" w:eastAsia="宋体" w:cs="宋体"/>
                <w:b w:val="0"/>
                <w:i w:val="0"/>
                <w:sz w:val="22"/>
              </w:rPr>
              <w:t>617.41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-95.86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-13.44%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-91.91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-12.96%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海关事务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713.27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709.32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617.41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573.73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56"/>
              <w:rPr>
                <w:rFonts w:ascii="宋体" w:eastAsia="宋体" w:cs="宋体"/>
                <w:b w:val="0"/>
                <w:i w:val="0"/>
                <w:sz w:val="22"/>
              </w:rPr>
            </w:pPr>
            <w:r>
              <w:rPr>
                <w:rFonts w:ascii="宋体" w:eastAsia="宋体" w:cs="宋体"/>
                <w:b w:val="0"/>
                <w:i w:val="0"/>
                <w:sz w:val="22"/>
              </w:rPr>
              <w:t>617.41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-95.86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-13.44%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-91.91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-12.96%</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行政运行</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580.79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580.79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573.73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573.73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Arial"/>
                <w:b w:val="0"/>
                <w:i w:val="0"/>
                <w:caps w:val="0"/>
                <w:smallCaps w:val="0"/>
                <w:strike w:val="0"/>
                <w:dstrike w:val="0"/>
                <w:sz w:val="22"/>
                <w:u w:val="none"/>
                <w:vertAlign w:val="baseline"/>
              </w:rPr>
            </w:pPr>
          </w:p>
        </w:tc>
        <w:tc>
          <w:tcPr>
            <w:tcW w:w="1080" w:type="dxa"/>
            <w:tcBorders>
              <w:top w:val="nil"/>
              <w:left w:val="nil"/>
              <w:bottom w:val="single" w:sz="8" w:space="0" w:color="auto"/>
              <w:right w:val="single" w:sz="8" w:space="0" w:color="auto"/>
            </w:tcBorders>
            <w:shd w:val="clear" w:color="auto" w:fill="auto"/>
            <w:noWrap/>
            <w:vAlign w:val="center"/>
          </w:tcPr>
          <w:p>
            <w:pPr>
              <w:pStyle w:val="57"/>
              <w:rPr>
                <w:rFonts w:ascii="宋体" w:eastAsia="宋体" w:cs="宋体"/>
                <w:b w:val="0"/>
                <w:i w:val="0"/>
                <w:sz w:val="22"/>
              </w:rPr>
            </w:pPr>
            <w:r>
              <w:rPr>
                <w:rFonts w:ascii="宋体" w:eastAsia="宋体" w:cs="宋体"/>
                <w:b w:val="0"/>
                <w:i w:val="0"/>
                <w:sz w:val="22"/>
              </w:rPr>
              <w:t>573.73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-7.06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-1.22%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-7.06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-1.22%</w:t>
            </w:r>
          </w:p>
        </w:tc>
      </w:tr>
      <w:tr>
        <w:trPr>
          <w:trHeight w:val="284"/>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2010902</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一般行政管理事务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Arial"/>
                <w:b w:val="0"/>
                <w:i w:val="0"/>
                <w:caps w:val="0"/>
                <w:smallCaps w:val="0"/>
                <w:strike w:val="0"/>
                <w:dstrike w:val="0"/>
                <w:sz w:val="22"/>
                <w:u w:val="none"/>
                <w:vertAlign w:val="baseline"/>
              </w:rPr>
            </w:pPr>
          </w:p>
        </w:tc>
        <w:tc>
          <w:tcPr>
            <w:tcW w:w="1080" w:type="dxa"/>
            <w:tcBorders>
              <w:top w:val="nil"/>
              <w:left w:val="nil"/>
              <w:bottom w:val="single" w:sz="8" w:space="0" w:color="auto"/>
              <w:right w:val="single" w:sz="8" w:space="0" w:color="auto"/>
            </w:tcBorders>
            <w:shd w:val="clear" w:color="auto" w:fill="auto"/>
            <w:noWrap/>
            <w:vAlign w:val="center"/>
          </w:tcPr>
          <w:p>
            <w:pPr>
              <w:pStyle w:val="60"/>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-3.95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-100%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2010905</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缉私办案</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4</w:t>
            </w:r>
          </w:p>
        </w:tc>
        <w:tc>
          <w:tcPr>
            <w:tcW w:w="1080" w:type="dxa"/>
            <w:tcBorders>
              <w:top w:val="nil"/>
              <w:left w:val="nil"/>
              <w:bottom w:val="single" w:sz="8" w:space="0" w:color="auto"/>
              <w:right w:val="single" w:sz="8" w:space="0" w:color="auto"/>
            </w:tcBorders>
            <w:shd w:val="clear" w:color="auto" w:fill="auto"/>
            <w:noWrap/>
            <w:vAlign w:val="center"/>
          </w:tcPr>
          <w:p>
            <w:pPr>
              <w:pStyle w:val="60"/>
              <w:rPr>
                <w:rFonts w:ascii="宋体" w:eastAsia="宋体" w:cs="宋体"/>
                <w:b w:val="0"/>
                <w:i w:val="0"/>
                <w:sz w:val="22"/>
              </w:rPr>
            </w:pPr>
            <w:r>
              <w:rPr>
                <w:rFonts w:ascii="宋体" w:eastAsia="宋体" w:cs="宋体"/>
                <w:b w:val="0"/>
                <w:i w:val="0"/>
                <w:sz w:val="22"/>
              </w:rPr>
              <w:t>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-24.10%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-24.10%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海关关务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37.2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37.2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30.18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30.18</w:t>
            </w:r>
          </w:p>
        </w:tc>
        <w:tc>
          <w:tcPr>
            <w:tcW w:w="1080" w:type="dxa"/>
            <w:tcBorders>
              <w:top w:val="nil"/>
              <w:left w:val="nil"/>
              <w:bottom w:val="single" w:sz="8" w:space="0" w:color="auto"/>
              <w:right w:val="single" w:sz="8" w:space="0" w:color="auto"/>
            </w:tcBorders>
            <w:shd w:val="clear" w:color="auto" w:fill="auto"/>
            <w:noWrap/>
            <w:vAlign w:val="center"/>
          </w:tcPr>
          <w:p>
            <w:pPr>
              <w:pStyle w:val="63"/>
              <w:rPr>
                <w:rFonts w:ascii="宋体" w:eastAsia="宋体" w:cs="宋体"/>
                <w:b w:val="0"/>
                <w:i w:val="0"/>
                <w:sz w:val="22"/>
              </w:rPr>
            </w:pPr>
            <w:r>
              <w:rPr>
                <w:rFonts w:ascii="宋体" w:eastAsia="宋体" w:cs="宋体"/>
                <w:b w:val="0"/>
                <w:i w:val="0"/>
                <w:sz w:val="22"/>
              </w:rPr>
              <w:t>30.18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-7.02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-18.87%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-7.02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-18.87%</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2010911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海关监管</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center"/>
          </w:tcPr>
          <w:p>
            <w:pPr>
              <w:pStyle w:val="65"/>
              <w:rPr>
                <w:rFonts w:ascii="宋体" w:eastAsia="宋体" w:cs="宋体"/>
                <w:b w:val="0"/>
                <w:i w:val="0"/>
                <w:sz w:val="22"/>
              </w:rPr>
            </w:pPr>
            <w:r>
              <w:rPr>
                <w:rFonts w:ascii="宋体" w:eastAsia="宋体" w:cs="宋体"/>
                <w:b w:val="0"/>
                <w:i w:val="0"/>
                <w:sz w:val="22"/>
              </w:rPr>
              <w:t>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0.00%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2010912</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检验检疫</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85.06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85.06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8.5</w:t>
            </w:r>
          </w:p>
        </w:tc>
        <w:tc>
          <w:tcPr>
            <w:tcW w:w="1080" w:type="dxa"/>
            <w:tcBorders>
              <w:top w:val="nil"/>
              <w:left w:val="nil"/>
              <w:bottom w:val="single" w:sz="8" w:space="0" w:color="auto"/>
              <w:right w:val="single" w:sz="8" w:space="0" w:color="auto"/>
            </w:tcBorders>
            <w:shd w:val="clear" w:color="auto" w:fill="auto"/>
            <w:noWrap/>
            <w:vAlign w:val="center"/>
          </w:tcPr>
          <w:p>
            <w:pPr>
              <w:pStyle w:val="66"/>
              <w:rPr>
                <w:rFonts w:ascii="宋体" w:eastAsia="宋体" w:cs="宋体"/>
                <w:b w:val="0"/>
                <w:i w:val="0"/>
                <w:sz w:val="22"/>
              </w:rPr>
            </w:pPr>
            <w:r>
              <w:rPr>
                <w:rFonts w:ascii="宋体" w:eastAsia="宋体" w:cs="宋体"/>
                <w:b w:val="0"/>
                <w:i w:val="0"/>
                <w:sz w:val="22"/>
              </w:rPr>
              <w:t>8.5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-76.56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-90.01%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-76.56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-90.01%</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社会保障和就业支出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79.95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79.95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73"/>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8.14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10.18%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8.14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10.18%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行政事业单位养老支出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79.95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79.95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74"/>
              <w:rPr>
                <w:rFonts w:ascii="宋体" w:eastAsia="宋体" w:cs="宋体"/>
                <w:b w:val="0"/>
                <w:i w:val="0"/>
                <w:sz w:val="24"/>
              </w:rPr>
            </w:pPr>
            <w:r>
              <w:rPr>
                <w:rFonts w:ascii="宋体" w:eastAsia="宋体" w:cs="宋体"/>
                <w:b w:val="0"/>
                <w:i w:val="0"/>
                <w:sz w:val="24"/>
              </w:rPr>
              <w:t>88.09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8.14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10.18%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8.14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10.18%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行政单位离退休</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9.6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9.6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9.28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9.28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p>
        </w:tc>
        <w:tc>
          <w:tcPr>
            <w:tcW w:w="1080" w:type="dxa"/>
            <w:tcBorders>
              <w:top w:val="nil"/>
              <w:left w:val="nil"/>
              <w:bottom w:val="single" w:sz="8" w:space="0" w:color="auto"/>
              <w:right w:val="single" w:sz="8" w:space="0" w:color="auto"/>
            </w:tcBorders>
            <w:shd w:val="clear" w:color="auto" w:fill="auto"/>
            <w:noWrap/>
            <w:vAlign w:val="center"/>
          </w:tcPr>
          <w:p>
            <w:pPr>
              <w:pStyle w:val="75"/>
              <w:rPr>
                <w:rFonts w:ascii="宋体" w:eastAsia="宋体" w:cs="宋体"/>
                <w:b w:val="0"/>
                <w:i w:val="0"/>
                <w:sz w:val="24"/>
              </w:rPr>
            </w:pPr>
            <w:r>
              <w:rPr>
                <w:rFonts w:ascii="宋体" w:eastAsia="宋体" w:cs="宋体"/>
                <w:b w:val="0"/>
                <w:i w:val="0"/>
                <w:sz w:val="24"/>
              </w:rPr>
              <w:t>9.28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-0.32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-3.33%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-0.32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-3.33%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机关事业单位基本养老保险缴费支出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46.9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4"/>
              </w:rPr>
            </w:pPr>
            <w:r>
              <w:rPr>
                <w:rFonts w:ascii="宋体" w:eastAsia="宋体" w:cs="宋体"/>
                <w:b w:val="0"/>
                <w:i w:val="0"/>
                <w:sz w:val="24"/>
              </w:rPr>
              <w:t>46.9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52.54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52.54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76"/>
              <w:rPr>
                <w:rFonts w:ascii="宋体" w:eastAsia="宋体" w:cs="宋体"/>
                <w:b w:val="0"/>
                <w:i w:val="0"/>
                <w:sz w:val="22"/>
              </w:rPr>
            </w:pPr>
            <w:r>
              <w:rPr>
                <w:rFonts w:ascii="宋体" w:eastAsia="宋体" w:cs="宋体"/>
                <w:b w:val="0"/>
                <w:i w:val="0"/>
                <w:sz w:val="22"/>
              </w:rPr>
              <w:t>52.54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5.64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12.03%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5.64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12.03%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2080506</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机关事业单位职业年金缴费支出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23.45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23.45</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26.27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26.27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77"/>
              <w:rPr>
                <w:rFonts w:ascii="宋体" w:eastAsia="宋体" w:cs="宋体"/>
                <w:b w:val="0"/>
                <w:i w:val="0"/>
                <w:sz w:val="22"/>
              </w:rPr>
            </w:pPr>
            <w:r>
              <w:rPr>
                <w:rFonts w:ascii="宋体" w:eastAsia="宋体" w:cs="宋体"/>
                <w:b w:val="0"/>
                <w:i w:val="0"/>
                <w:sz w:val="22"/>
              </w:rPr>
              <w:t>26.27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2.82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12.03%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2.82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12.03%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卫生健康支出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30.47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30.47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31.74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31.74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78"/>
              <w:rPr>
                <w:rFonts w:ascii="宋体" w:eastAsia="宋体" w:cs="宋体"/>
                <w:b w:val="0"/>
                <w:i w:val="0"/>
                <w:sz w:val="22"/>
              </w:rPr>
            </w:pPr>
            <w:r>
              <w:rPr>
                <w:rFonts w:ascii="宋体" w:eastAsia="宋体" w:cs="宋体"/>
                <w:b w:val="0"/>
                <w:i w:val="0"/>
                <w:sz w:val="22"/>
              </w:rPr>
              <w:t>31.74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4.17%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4.17%</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行政事业单位医疗</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30.47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30.47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31.74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31.74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79"/>
              <w:rPr>
                <w:rFonts w:ascii="宋体" w:eastAsia="宋体" w:cs="宋体"/>
                <w:b w:val="0"/>
                <w:i w:val="0"/>
                <w:sz w:val="22"/>
              </w:rPr>
            </w:pPr>
            <w:r>
              <w:rPr>
                <w:rFonts w:ascii="宋体" w:eastAsia="宋体" w:cs="宋体"/>
                <w:b w:val="0"/>
                <w:i w:val="0"/>
                <w:sz w:val="22"/>
              </w:rPr>
              <w:t>31.74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4.17%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4.17%</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行政单位医疗</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30.47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30.47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25.16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25.16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80"/>
              <w:rPr>
                <w:rFonts w:ascii="宋体" w:eastAsia="宋体" w:cs="宋体"/>
                <w:b w:val="0"/>
                <w:i w:val="0"/>
                <w:sz w:val="22"/>
              </w:rPr>
            </w:pPr>
            <w:r>
              <w:rPr>
                <w:rFonts w:ascii="宋体" w:eastAsia="宋体" w:cs="宋体"/>
                <w:b w:val="0"/>
                <w:i w:val="0"/>
                <w:sz w:val="22"/>
              </w:rPr>
              <w:t>25.16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-5.31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-17.43%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-5.31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-17.43%</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公务员医疗补助</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81"/>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100.00%</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6.58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100.00%</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住房保障支出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90.7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90.7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82"/>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-1.16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-1.28%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-1.16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住房改革支出</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90.7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90.7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83"/>
              <w:rPr>
                <w:rFonts w:ascii="宋体" w:eastAsia="宋体" w:cs="宋体"/>
                <w:b w:val="0"/>
                <w:i w:val="0"/>
                <w:sz w:val="22"/>
              </w:rPr>
            </w:pPr>
            <w:r>
              <w:rPr>
                <w:rFonts w:ascii="宋体" w:eastAsia="宋体" w:cs="宋体"/>
                <w:b w:val="0"/>
                <w:i w:val="0"/>
                <w:sz w:val="22"/>
              </w:rPr>
              <w:t>89.54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-1.16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-1.28%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-1.16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-1.28%</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住房公积金</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62.28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62.28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57.7</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84"/>
              <w:rPr>
                <w:rFonts w:ascii="宋体" w:eastAsia="宋体" w:cs="宋体"/>
                <w:b w:val="0"/>
                <w:i w:val="0"/>
                <w:sz w:val="22"/>
              </w:rPr>
            </w:pPr>
            <w:r>
              <w:rPr>
                <w:rFonts w:ascii="宋体" w:eastAsia="宋体" w:cs="宋体"/>
                <w:b w:val="0"/>
                <w:i w:val="0"/>
                <w:sz w:val="22"/>
              </w:rPr>
              <w:t>57.7</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-4.58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-7.35%</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-4.58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-7.35%</w:t>
            </w:r>
          </w:p>
        </w:tc>
      </w:tr>
      <w:tr>
        <w:trPr>
          <w:trHeight w:val="285"/>
        </w:trPr>
        <w:tc>
          <w:tcPr>
            <w:tcW w:w="1020"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购房补贴</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28.42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28.42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31.84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val="0"/>
                <w:i w:val="0"/>
                <w:sz w:val="22"/>
              </w:rPr>
            </w:pPr>
            <w:r>
              <w:rPr>
                <w:rFonts w:ascii="宋体" w:eastAsia="宋体" w:cs="宋体"/>
                <w:b w:val="0"/>
                <w:i w:val="0"/>
                <w:sz w:val="22"/>
              </w:rPr>
              <w:t>31.84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b w:val="0"/>
                <w:i w:val="0"/>
                <w:sz w:val="22"/>
              </w:rPr>
            </w:pPr>
          </w:p>
        </w:tc>
        <w:tc>
          <w:tcPr>
            <w:tcW w:w="1080" w:type="dxa"/>
            <w:tcBorders>
              <w:top w:val="nil"/>
              <w:left w:val="nil"/>
              <w:bottom w:val="single" w:sz="8" w:space="0" w:color="auto"/>
              <w:right w:val="single" w:sz="8" w:space="0" w:color="auto"/>
            </w:tcBorders>
            <w:shd w:val="clear" w:color="auto" w:fill="auto"/>
            <w:noWrap/>
            <w:vAlign w:val="center"/>
          </w:tcPr>
          <w:p>
            <w:pPr>
              <w:pStyle w:val="85"/>
              <w:rPr>
                <w:rFonts w:ascii="宋体" w:eastAsia="宋体" w:cs="宋体"/>
                <w:b w:val="0"/>
                <w:i w:val="0"/>
                <w:sz w:val="22"/>
              </w:rPr>
            </w:pPr>
            <w:r>
              <w:rPr>
                <w:rFonts w:ascii="宋体" w:eastAsia="宋体" w:cs="宋体"/>
                <w:b w:val="0"/>
                <w:i w:val="0"/>
                <w:sz w:val="22"/>
              </w:rPr>
              <w:t>31.84</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3.42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12.03%</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3.42</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12.03%</w:t>
            </w:r>
          </w:p>
        </w:tc>
      </w:tr>
      <w:tr>
        <w:trPr>
          <w:trHeight w:val="285"/>
        </w:trPr>
        <w:tc>
          <w:tcPr>
            <w:tcW w:w="402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6"/>
                <w:szCs w:val="16"/>
              </w:rPr>
            </w:pPr>
            <w:r>
              <w:rPr>
                <w:rFonts w:ascii="宋体" w:cs="Times New Roman" w:hint="eastAsia"/>
                <w:b/>
                <w:bCs/>
                <w:color w:val="000000"/>
                <w:kern w:val="0"/>
                <w:sz w:val="16"/>
                <w:szCs w:val="16"/>
              </w:rPr>
              <w:t>合</w:t>
            </w:r>
            <w:r>
              <w:rPr>
                <w:rFonts w:ascii="Times New Roman" w:cs="Times New Roman" w:hAnsi="Times New Roman"/>
                <w:b/>
                <w:bCs/>
                <w:color w:val="000000"/>
                <w:kern w:val="0"/>
                <w:sz w:val="16"/>
                <w:szCs w:val="16"/>
              </w:rPr>
              <w:t xml:space="preserve">      </w:t>
            </w:r>
            <w:r>
              <w:rPr>
                <w:rFonts w:ascii="宋体" w:cs="Times New Roman" w:hint="eastAsia"/>
                <w:b/>
                <w:bCs/>
                <w:color w:val="000000"/>
                <w:kern w:val="0"/>
                <w:sz w:val="16"/>
                <w:szCs w:val="16"/>
              </w:rPr>
              <w:t>计</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i w:val="0"/>
                <w:sz w:val="22"/>
              </w:rPr>
            </w:pPr>
            <w:r>
              <w:rPr>
                <w:rFonts w:ascii="宋体" w:eastAsia="宋体" w:cs="宋体"/>
                <w:b/>
                <w:i w:val="0"/>
                <w:sz w:val="22"/>
              </w:rPr>
              <w:t>914.39</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i w:val="0"/>
                <w:sz w:val="22"/>
              </w:rPr>
            </w:pPr>
            <w:r>
              <w:rPr>
                <w:rFonts w:ascii="宋体" w:eastAsia="宋体" w:cs="宋体"/>
                <w:b/>
                <w:i w:val="0"/>
                <w:sz w:val="22"/>
              </w:rPr>
              <w:t>910.44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sz w:val="22"/>
              </w:rPr>
            </w:pPr>
            <w:r>
              <w:rPr>
                <w:rFonts w:ascii="宋体" w:eastAsia="宋体" w:cs="宋体"/>
                <w:b/>
                <w:i w:val="0"/>
                <w:sz w:val="22"/>
              </w:rPr>
              <w:t>826.78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sz w:val="22"/>
              </w:rPr>
            </w:pPr>
            <w:r>
              <w:rPr>
                <w:rFonts w:ascii="宋体" w:eastAsia="宋体" w:cs="宋体"/>
                <w:b/>
                <w:i w:val="0"/>
                <w:sz w:val="22"/>
              </w:rPr>
              <w:t>783.1</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eastAsia="宋体" w:cs="宋体"/>
                <w:b/>
                <w:i w:val="0"/>
                <w:sz w:val="22"/>
              </w:rPr>
            </w:pPr>
            <w:r>
              <w:rPr>
                <w:rFonts w:ascii="宋体" w:eastAsia="宋体" w:cs="宋体"/>
                <w:b/>
                <w:i w:val="0"/>
                <w:sz w:val="22"/>
              </w:rPr>
              <w:t>43.68</w:t>
            </w:r>
          </w:p>
        </w:tc>
        <w:tc>
          <w:tcPr>
            <w:tcW w:w="1080" w:type="dxa"/>
            <w:tcBorders>
              <w:top w:val="nil"/>
              <w:left w:val="nil"/>
              <w:bottom w:val="single" w:sz="8" w:space="0" w:color="auto"/>
              <w:right w:val="single" w:sz="8" w:space="0" w:color="auto"/>
            </w:tcBorders>
            <w:shd w:val="clear" w:color="auto" w:fill="auto"/>
            <w:noWrap/>
            <w:vAlign w:val="center"/>
          </w:tcPr>
          <w:p>
            <w:pPr>
              <w:pStyle w:val="86"/>
              <w:rPr>
                <w:rFonts w:ascii="宋体" w:eastAsia="宋体" w:cs="宋体"/>
                <w:b/>
                <w:i w:val="0"/>
                <w:sz w:val="22"/>
              </w:rPr>
            </w:pPr>
            <w:r>
              <w:rPr>
                <w:rFonts w:ascii="宋体" w:eastAsia="宋体" w:cs="宋体"/>
                <w:b/>
                <w:i w:val="0"/>
                <w:sz w:val="22"/>
              </w:rPr>
              <w:t>826.78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-87.61</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Arial"/>
                <w:b w:val="0"/>
                <w:i w:val="0"/>
                <w:caps w:val="0"/>
                <w:smallCaps w:val="0"/>
                <w:strike w:val="0"/>
                <w:dstrike w:val="0"/>
                <w:sz w:val="22"/>
                <w:u w:val="none"/>
                <w:vertAlign w:val="baseline"/>
              </w:rPr>
            </w:pPr>
            <w:r>
              <w:rPr>
                <w:rFonts w:ascii="宋体" w:eastAsia="宋体" w:cs="Arial"/>
                <w:b w:val="0"/>
                <w:i w:val="0"/>
                <w:caps w:val="0"/>
                <w:smallCaps w:val="0"/>
                <w:strike w:val="0"/>
                <w:dstrike w:val="0"/>
                <w:sz w:val="22"/>
                <w:u w:val="none"/>
                <w:vertAlign w:val="baseline"/>
              </w:rPr>
              <w:t>-9.58%</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-83.66</w:t>
            </w:r>
          </w:p>
        </w:tc>
        <w:tc>
          <w:tcPr>
            <w:tcW w:w="1080" w:type="dxa"/>
            <w:tcBorders>
              <w:top w:val="nil"/>
              <w:left w:val="nil"/>
              <w:bottom w:val="single" w:sz="8" w:space="0" w:color="auto"/>
              <w:right w:val="single" w:sz="8" w:space="0" w:color="auto"/>
            </w:tcBorders>
            <w:shd w:val="clear" w:color="auto" w:fill="auto"/>
            <w:noWrap/>
            <w:vAlign w:val="bottom"/>
          </w:tcPr>
          <w:p>
            <w:pPr>
              <w:rPr>
                <w:rFonts w:ascii="宋体" w:eastAsia="宋体" w:cs="宋体"/>
                <w:b w:val="0"/>
                <w:i w:val="0"/>
                <w:sz w:val="22"/>
              </w:rPr>
            </w:pPr>
            <w:r>
              <w:rPr>
                <w:rFonts w:ascii="宋体" w:eastAsia="宋体" w:cs="宋体"/>
                <w:b w:val="0"/>
                <w:i w:val="0"/>
                <w:sz w:val="22"/>
              </w:rPr>
              <w:t>-9.19%</w:t>
            </w:r>
          </w:p>
        </w:tc>
      </w:tr>
    </w:tbl>
    <w:p>
      <w:pP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93" w:type="dxa"/>
        <w:tblW w:w="915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20"/>
        <w:gridCol w:w="1330"/>
        <w:gridCol w:w="1750"/>
        <w:gridCol w:w="1520"/>
        <w:gridCol w:w="1520"/>
        <w:gridCol w:w="1520"/>
      </w:tblGrid>
      <w:tr>
        <w:trPr>
          <w:trHeight w:val="315"/>
        </w:trPr>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4"/>
                <w:szCs w:val="24"/>
              </w:rPr>
            </w:pPr>
            <w:bookmarkStart w:id="1" w:name="RANGE!A1:E71"/>
            <w:bookmarkEnd w:id="1"/>
          </w:p>
        </w:tc>
        <w:tc>
          <w:tcPr>
            <w:tcW w:w="3080" w:type="dxa"/>
            <w:gridSpan w:val="2"/>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w:t>
            </w:r>
            <w:r>
              <w:rPr>
                <w:rFonts w:ascii="Times New Roman" w:eastAsia="黑体" w:cs="Times New Roman" w:hAnsi="Times New Roman"/>
                <w:color w:val="000000"/>
                <w:kern w:val="0"/>
                <w:sz w:val="20"/>
                <w:szCs w:val="20"/>
              </w:rPr>
              <w:t>6</w:t>
            </w:r>
          </w:p>
        </w:tc>
      </w:tr>
      <w:tr>
        <w:trPr>
          <w:trHeight w:val="450"/>
        </w:trPr>
        <w:tc>
          <w:tcPr>
            <w:tcW w:w="9159" w:type="dxa"/>
            <w:gridSpan w:val="6"/>
            <w:tcBorders>
              <w:top w:val="nil"/>
              <w:left w:val="nil"/>
              <w:bottom w:val="nil"/>
              <w:right w:val="nil"/>
            </w:tcBorders>
            <w:shd w:val="clear" w:color="auto" w:fill="auto"/>
            <w:noWrap/>
            <w:vAlign w:val="center"/>
          </w:tcPr>
          <w:p>
            <w:pPr>
              <w:widowControl/>
              <w:jc w:val="center"/>
              <w:rPr>
                <w:rFonts w:ascii="宋体" w:cs="宋体"/>
                <w:color w:val="000000"/>
                <w:kern w:val="0"/>
                <w:sz w:val="36"/>
                <w:szCs w:val="36"/>
              </w:rPr>
            </w:pPr>
            <w:r>
              <w:rPr>
                <w:rFonts w:ascii="宋体" w:cs="宋体" w:hint="eastAsia"/>
                <w:color w:val="000000"/>
                <w:kern w:val="0"/>
                <w:sz w:val="36"/>
                <w:szCs w:val="36"/>
              </w:rPr>
              <w:t>一般公共预算基本支出表</w:t>
            </w:r>
          </w:p>
        </w:tc>
      </w:tr>
      <w:tr>
        <w:trPr>
          <w:trHeight w:val="284"/>
        </w:trPr>
        <w:tc>
          <w:tcPr>
            <w:tcW w:w="2850" w:type="dxa"/>
            <w:gridSpan w:val="2"/>
            <w:tcBorders>
              <w:top w:val="nil"/>
              <w:left w:val="nil"/>
              <w:bottom w:val="nil"/>
              <w:right w:val="nil"/>
            </w:tcBorders>
            <w:shd w:val="clear" w:color="auto" w:fill="auto"/>
            <w:noWrap/>
            <w:vAlign w:val="center"/>
          </w:tcPr>
          <w:p>
            <w:pPr>
              <w:widowControl/>
              <w:jc w:val="left"/>
              <w:rPr>
                <w:rFonts w:ascii="宋体" w:cs="宋体" w:hint="eastAsia"/>
                <w:color w:val="000000"/>
                <w:kern w:val="0"/>
                <w:sz w:val="18"/>
                <w:szCs w:val="18"/>
              </w:rPr>
            </w:pPr>
            <w:r>
              <w:rPr>
                <w:rFonts w:ascii="宋体" w:cs="宋体" w:hint="eastAsia"/>
                <w:color w:val="000000"/>
                <w:kern w:val="0"/>
                <w:sz w:val="18"/>
                <w:szCs w:val="18"/>
              </w:rPr>
              <w:t>单位：中华人民共和国</w:t>
            </w:r>
            <w:r>
              <w:rPr>
                <w:rFonts w:ascii="宋体" w:cs="宋体"/>
                <w:color w:val="000000"/>
                <w:kern w:val="0"/>
                <w:sz w:val="18"/>
                <w:szCs w:val="18"/>
              </w:rPr>
              <w:t>聊城</w:t>
            </w:r>
            <w:r>
              <w:rPr>
                <w:rFonts w:ascii="宋体" w:cs="宋体" w:hint="eastAsia"/>
                <w:color w:val="000000"/>
                <w:kern w:val="0"/>
                <w:sz w:val="18"/>
                <w:szCs w:val="18"/>
              </w:rPr>
              <w:t>海关</w:t>
            </w:r>
          </w:p>
        </w:tc>
        <w:tc>
          <w:tcPr>
            <w:tcW w:w="1750" w:type="dxa"/>
            <w:tcBorders>
              <w:top w:val="nil"/>
              <w:left w:val="nil"/>
              <w:bottom w:val="nil"/>
              <w:right w:val="nil"/>
            </w:tcBorders>
            <w:shd w:val="clear" w:color="auto" w:fill="auto"/>
            <w:noWrap/>
            <w:vAlign w:val="center"/>
          </w:tcPr>
          <w:p>
            <w:pPr>
              <w:pStyle w:val="93"/>
              <w:widowControl/>
              <w:jc w:val="left"/>
              <w:rPr>
                <w:rFonts w:ascii="宋体" w:cs="宋体"/>
                <w:color w:val="000000"/>
                <w:kern w:val="0"/>
                <w:sz w:val="18"/>
                <w:szCs w:val="18"/>
              </w:rPr>
            </w:pPr>
            <w:r>
              <w:rPr>
                <w:rFonts w:ascii="宋体" w:cs="宋体" w:hint="eastAsia"/>
                <w:color w:val="000000"/>
                <w:kern w:val="0"/>
                <w:sz w:val="18"/>
                <w:szCs w:val="18"/>
              </w:rPr>
              <w:t>　</w:t>
            </w: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单位：万元</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8"/>
                <w:szCs w:val="18"/>
              </w:rPr>
            </w:pPr>
            <w:r>
              <w:rPr>
                <w:rFonts w:ascii="Times New Roman" w:cs="Times New Roman" w:hAnsi="Times New Roman"/>
                <w:b/>
                <w:bCs/>
                <w:color w:val="000000"/>
                <w:kern w:val="0"/>
                <w:sz w:val="18"/>
                <w:szCs w:val="18"/>
              </w:rPr>
              <w:t>　</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b/>
                <w:bCs/>
                <w:color w:val="000000"/>
                <w:kern w:val="0"/>
                <w:sz w:val="18"/>
                <w:szCs w:val="18"/>
              </w:rPr>
            </w:pPr>
            <w:r>
              <w:rPr>
                <w:rFonts w:ascii="宋体" w:cs="宋体"/>
                <w:b/>
                <w:bCs/>
                <w:color w:val="000000"/>
                <w:kern w:val="0"/>
                <w:sz w:val="18"/>
                <w:szCs w:val="18"/>
              </w:rPr>
              <w:t>聊城</w:t>
            </w:r>
            <w:r>
              <w:rPr>
                <w:rFonts w:ascii="宋体" w:cs="宋体" w:hint="eastAsia"/>
                <w:b/>
                <w:bCs/>
                <w:color w:val="000000"/>
                <w:kern w:val="0"/>
                <w:sz w:val="18"/>
                <w:szCs w:val="18"/>
              </w:rPr>
              <w:t>海关</w:t>
            </w:r>
          </w:p>
        </w:tc>
        <w:tc>
          <w:tcPr>
            <w:tcW w:w="1520" w:type="dxa"/>
            <w:tcBorders>
              <w:top w:val="nil"/>
              <w:left w:val="nil"/>
              <w:bottom w:val="single" w:sz="8" w:space="0" w:color="auto"/>
              <w:right w:val="single" w:sz="8" w:space="0" w:color="auto"/>
            </w:tcBorders>
            <w:shd w:val="clear" w:color="auto" w:fill="auto"/>
            <w:noWrap/>
            <w:vAlign w:val="center"/>
          </w:tcPr>
          <w:p>
            <w:pPr>
              <w:pStyle w:val="88"/>
              <w:jc w:val="right"/>
              <w:rPr>
                <w:rFonts w:ascii="宋体" w:eastAsia="宋体"/>
                <w:b/>
                <w:i w:val="0"/>
                <w:sz w:val="18"/>
                <w:szCs w:val="18"/>
              </w:rPr>
            </w:pPr>
            <w:r>
              <w:rPr>
                <w:rFonts w:ascii="宋体" w:eastAsia="宋体"/>
                <w:b/>
                <w:i w:val="0"/>
                <w:sz w:val="18"/>
                <w:szCs w:val="18"/>
              </w:rPr>
              <w:t>783.1</w:t>
            </w:r>
          </w:p>
        </w:tc>
        <w:tc>
          <w:tcPr>
            <w:tcW w:w="1520" w:type="dxa"/>
            <w:tcBorders>
              <w:top w:val="nil"/>
              <w:left w:val="nil"/>
              <w:bottom w:val="single" w:sz="8" w:space="0" w:color="auto"/>
              <w:right w:val="single" w:sz="8" w:space="0" w:color="auto"/>
            </w:tcBorders>
            <w:shd w:val="clear" w:color="auto" w:fill="auto"/>
            <w:noWrap/>
            <w:vAlign w:val="center"/>
          </w:tcPr>
          <w:p>
            <w:pPr>
              <w:pStyle w:val="89"/>
              <w:jc w:val="right"/>
              <w:rPr>
                <w:rFonts w:ascii="宋体" w:eastAsia="宋体"/>
                <w:b/>
                <w:i w:val="0"/>
                <w:sz w:val="18"/>
                <w:szCs w:val="18"/>
              </w:rPr>
            </w:pPr>
            <w:r>
              <w:rPr>
                <w:rFonts w:ascii="宋体" w:eastAsia="宋体"/>
                <w:b/>
                <w:i w:val="0"/>
                <w:sz w:val="18"/>
                <w:szCs w:val="18"/>
              </w:rPr>
              <w:t>609.35</w:t>
            </w:r>
          </w:p>
        </w:tc>
        <w:tc>
          <w:tcPr>
            <w:tcW w:w="1520" w:type="dxa"/>
            <w:tcBorders>
              <w:top w:val="nil"/>
              <w:left w:val="nil"/>
              <w:bottom w:val="single" w:sz="8" w:space="0" w:color="auto"/>
              <w:right w:val="single" w:sz="8" w:space="0" w:color="auto"/>
            </w:tcBorders>
            <w:shd w:val="clear" w:color="auto" w:fill="auto"/>
            <w:noWrap/>
            <w:vAlign w:val="center"/>
          </w:tcPr>
          <w:p>
            <w:pPr>
              <w:pStyle w:val="90"/>
              <w:jc w:val="right"/>
              <w:rPr>
                <w:rFonts w:ascii="宋体" w:eastAsia="宋体"/>
                <w:b/>
                <w:i w:val="0"/>
                <w:sz w:val="18"/>
                <w:szCs w:val="18"/>
              </w:rPr>
            </w:pPr>
            <w:r>
              <w:rPr>
                <w:rFonts w:ascii="宋体" w:eastAsia="宋体"/>
                <w:b/>
                <w:i w:val="0"/>
                <w:sz w:val="18"/>
                <w:szCs w:val="18"/>
              </w:rPr>
              <w:t>173.75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工资福利支出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584.35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584.35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基本工资</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157.8</w:t>
            </w:r>
          </w:p>
        </w:tc>
        <w:tc>
          <w:tcPr>
            <w:tcW w:w="1520" w:type="dxa"/>
            <w:tcBorders>
              <w:top w:val="nil"/>
              <w:left w:val="nil"/>
              <w:bottom w:val="single" w:sz="8" w:space="0" w:color="auto"/>
              <w:right w:val="single" w:sz="8" w:space="0" w:color="auto"/>
            </w:tcBorders>
            <w:shd w:val="clear" w:color="auto" w:fill="auto"/>
            <w:noWrap/>
            <w:vAlign w:val="center"/>
          </w:tcPr>
          <w:p>
            <w:pPr>
              <w:pStyle w:val="120"/>
              <w:jc w:val="right"/>
              <w:rPr>
                <w:rFonts w:ascii="宋体" w:eastAsia="宋体"/>
                <w:b w:val="0"/>
                <w:i w:val="0"/>
                <w:color w:val="000000"/>
                <w:sz w:val="18"/>
                <w:szCs w:val="18"/>
              </w:rPr>
            </w:pPr>
            <w:r>
              <w:rPr>
                <w:rFonts w:ascii="宋体" w:eastAsia="宋体"/>
                <w:b w:val="0"/>
                <w:i w:val="0"/>
                <w:color w:val="000000"/>
                <w:sz w:val="18"/>
                <w:szCs w:val="18"/>
              </w:rPr>
              <w:t>157.8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津贴补贴</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249.3</w:t>
            </w:r>
          </w:p>
        </w:tc>
        <w:tc>
          <w:tcPr>
            <w:tcW w:w="1520" w:type="dxa"/>
            <w:tcBorders>
              <w:top w:val="nil"/>
              <w:left w:val="nil"/>
              <w:bottom w:val="single" w:sz="8" w:space="0" w:color="auto"/>
              <w:right w:val="single" w:sz="8" w:space="0" w:color="auto"/>
            </w:tcBorders>
            <w:shd w:val="clear" w:color="auto" w:fill="auto"/>
            <w:noWrap/>
            <w:vAlign w:val="center"/>
          </w:tcPr>
          <w:p>
            <w:pPr>
              <w:pStyle w:val="121"/>
              <w:jc w:val="right"/>
              <w:rPr>
                <w:rFonts w:ascii="宋体" w:eastAsia="宋体"/>
                <w:b w:val="0"/>
                <w:i w:val="0"/>
                <w:color w:val="000000"/>
                <w:sz w:val="18"/>
                <w:szCs w:val="18"/>
              </w:rPr>
            </w:pPr>
            <w:r>
              <w:rPr>
                <w:rFonts w:ascii="宋体" w:eastAsia="宋体"/>
                <w:b w:val="0"/>
                <w:i w:val="0"/>
                <w:color w:val="000000"/>
                <w:sz w:val="18"/>
                <w:szCs w:val="18"/>
              </w:rPr>
              <w:t>249.3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奖金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9</w:t>
            </w:r>
          </w:p>
        </w:tc>
        <w:tc>
          <w:tcPr>
            <w:tcW w:w="1520" w:type="dxa"/>
            <w:tcBorders>
              <w:top w:val="nil"/>
              <w:left w:val="nil"/>
              <w:bottom w:val="single" w:sz="8" w:space="0" w:color="auto"/>
              <w:right w:val="single" w:sz="8" w:space="0" w:color="auto"/>
            </w:tcBorders>
            <w:shd w:val="clear" w:color="auto" w:fill="auto"/>
            <w:noWrap/>
            <w:vAlign w:val="center"/>
          </w:tcPr>
          <w:p>
            <w:pPr>
              <w:pStyle w:val="122"/>
              <w:jc w:val="right"/>
              <w:rPr>
                <w:rFonts w:ascii="宋体" w:eastAsia="宋体"/>
                <w:b w:val="0"/>
                <w:i w:val="0"/>
                <w:color w:val="000000"/>
                <w:sz w:val="18"/>
                <w:szCs w:val="18"/>
              </w:rPr>
            </w:pPr>
            <w:r>
              <w:rPr>
                <w:rFonts w:ascii="宋体" w:eastAsia="宋体"/>
                <w:b w:val="0"/>
                <w:i w:val="0"/>
                <w:color w:val="000000"/>
                <w:sz w:val="18"/>
                <w:szCs w:val="18"/>
              </w:rPr>
              <w:t>9</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绩效工资</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23"/>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机关事业单位基本养老保险缴费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52.54</w:t>
            </w:r>
          </w:p>
        </w:tc>
        <w:tc>
          <w:tcPr>
            <w:tcW w:w="1520" w:type="dxa"/>
            <w:tcBorders>
              <w:top w:val="nil"/>
              <w:left w:val="nil"/>
              <w:bottom w:val="single" w:sz="8" w:space="0" w:color="auto"/>
              <w:right w:val="single" w:sz="8" w:space="0" w:color="auto"/>
            </w:tcBorders>
            <w:shd w:val="clear" w:color="auto" w:fill="auto"/>
            <w:noWrap/>
            <w:vAlign w:val="center"/>
          </w:tcPr>
          <w:p>
            <w:pPr>
              <w:pStyle w:val="124"/>
              <w:jc w:val="right"/>
              <w:rPr>
                <w:rFonts w:ascii="宋体" w:eastAsia="宋体"/>
                <w:b w:val="0"/>
                <w:i w:val="0"/>
                <w:color w:val="000000"/>
                <w:sz w:val="18"/>
                <w:szCs w:val="18"/>
              </w:rPr>
            </w:pPr>
            <w:r>
              <w:rPr>
                <w:rFonts w:ascii="宋体" w:eastAsia="宋体"/>
                <w:b w:val="0"/>
                <w:i w:val="0"/>
                <w:color w:val="000000"/>
                <w:sz w:val="18"/>
                <w:szCs w:val="18"/>
              </w:rPr>
              <w:t>52.54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职业年金缴费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26.27</w:t>
            </w:r>
          </w:p>
        </w:tc>
        <w:tc>
          <w:tcPr>
            <w:tcW w:w="1520" w:type="dxa"/>
            <w:tcBorders>
              <w:top w:val="nil"/>
              <w:left w:val="nil"/>
              <w:bottom w:val="single" w:sz="8" w:space="0" w:color="auto"/>
              <w:right w:val="single" w:sz="8" w:space="0" w:color="auto"/>
            </w:tcBorders>
            <w:shd w:val="clear" w:color="auto" w:fill="auto"/>
            <w:noWrap/>
            <w:vAlign w:val="center"/>
          </w:tcPr>
          <w:p>
            <w:pPr>
              <w:pStyle w:val="125"/>
              <w:jc w:val="right"/>
              <w:rPr>
                <w:rFonts w:ascii="宋体" w:eastAsia="宋体"/>
                <w:b w:val="0"/>
                <w:i w:val="0"/>
                <w:color w:val="000000"/>
                <w:sz w:val="18"/>
                <w:szCs w:val="18"/>
              </w:rPr>
            </w:pPr>
            <w:r>
              <w:rPr>
                <w:rFonts w:ascii="宋体" w:eastAsia="宋体"/>
                <w:b w:val="0"/>
                <w:i w:val="0"/>
                <w:color w:val="000000"/>
                <w:sz w:val="18"/>
                <w:szCs w:val="18"/>
              </w:rPr>
              <w:t>26.27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职工基本医疗保险缴费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25.16</w:t>
            </w:r>
          </w:p>
        </w:tc>
        <w:tc>
          <w:tcPr>
            <w:tcW w:w="1520" w:type="dxa"/>
            <w:tcBorders>
              <w:top w:val="nil"/>
              <w:left w:val="nil"/>
              <w:bottom w:val="single" w:sz="8" w:space="0" w:color="auto"/>
              <w:right w:val="single" w:sz="8" w:space="0" w:color="auto"/>
            </w:tcBorders>
            <w:shd w:val="clear" w:color="auto" w:fill="auto"/>
            <w:noWrap/>
            <w:vAlign w:val="center"/>
          </w:tcPr>
          <w:p>
            <w:pPr>
              <w:pStyle w:val="126"/>
              <w:jc w:val="right"/>
              <w:rPr>
                <w:rFonts w:ascii="宋体" w:eastAsia="宋体"/>
                <w:b w:val="0"/>
                <w:i w:val="0"/>
                <w:color w:val="000000"/>
                <w:sz w:val="18"/>
                <w:szCs w:val="18"/>
              </w:rPr>
            </w:pPr>
            <w:r>
              <w:rPr>
                <w:rFonts w:ascii="宋体" w:eastAsia="宋体"/>
                <w:b w:val="0"/>
                <w:i w:val="0"/>
                <w:color w:val="000000"/>
                <w:sz w:val="18"/>
                <w:szCs w:val="18"/>
              </w:rPr>
              <w:t>25.16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公务员医疗补助缴费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6.58</w:t>
            </w:r>
          </w:p>
        </w:tc>
        <w:tc>
          <w:tcPr>
            <w:tcW w:w="1520" w:type="dxa"/>
            <w:tcBorders>
              <w:top w:val="nil"/>
              <w:left w:val="nil"/>
              <w:bottom w:val="single" w:sz="8" w:space="0" w:color="auto"/>
              <w:right w:val="single" w:sz="8" w:space="0" w:color="auto"/>
            </w:tcBorders>
            <w:shd w:val="clear" w:color="auto" w:fill="auto"/>
            <w:noWrap/>
            <w:vAlign w:val="center"/>
          </w:tcPr>
          <w:p>
            <w:pPr>
              <w:pStyle w:val="127"/>
              <w:jc w:val="right"/>
              <w:rPr>
                <w:rFonts w:ascii="宋体" w:eastAsia="宋体"/>
                <w:b w:val="0"/>
                <w:i w:val="0"/>
                <w:color w:val="000000"/>
                <w:sz w:val="18"/>
                <w:szCs w:val="18"/>
              </w:rPr>
            </w:pPr>
            <w:r>
              <w:rPr>
                <w:rFonts w:ascii="宋体" w:eastAsia="宋体"/>
                <w:b w:val="0"/>
                <w:i w:val="0"/>
                <w:color w:val="000000"/>
                <w:sz w:val="18"/>
                <w:szCs w:val="18"/>
              </w:rPr>
              <w:t>6.58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住房公积金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57.7</w:t>
            </w:r>
          </w:p>
        </w:tc>
        <w:tc>
          <w:tcPr>
            <w:tcW w:w="1520" w:type="dxa"/>
            <w:tcBorders>
              <w:top w:val="nil"/>
              <w:left w:val="nil"/>
              <w:bottom w:val="single" w:sz="8" w:space="0" w:color="auto"/>
              <w:right w:val="single" w:sz="8" w:space="0" w:color="auto"/>
            </w:tcBorders>
            <w:shd w:val="clear" w:color="auto" w:fill="auto"/>
            <w:noWrap/>
            <w:vAlign w:val="center"/>
          </w:tcPr>
          <w:p>
            <w:pPr>
              <w:pStyle w:val="128"/>
              <w:jc w:val="right"/>
              <w:rPr>
                <w:rFonts w:ascii="宋体" w:eastAsia="宋体"/>
                <w:b w:val="0"/>
                <w:i w:val="0"/>
                <w:color w:val="000000"/>
                <w:sz w:val="18"/>
                <w:szCs w:val="18"/>
              </w:rPr>
            </w:pPr>
            <w:r>
              <w:rPr>
                <w:rFonts w:ascii="宋体" w:eastAsia="宋体"/>
                <w:b w:val="0"/>
                <w:i w:val="0"/>
                <w:color w:val="000000"/>
                <w:sz w:val="18"/>
                <w:szCs w:val="18"/>
              </w:rPr>
              <w:t>57.7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其他工资福利支出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167.75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29"/>
              <w:jc w:val="right"/>
              <w:rPr>
                <w:rFonts w:ascii="宋体" w:eastAsia="宋体"/>
                <w:b/>
                <w:i w:val="0"/>
                <w:color w:val="000000"/>
                <w:sz w:val="18"/>
                <w:szCs w:val="18"/>
              </w:rPr>
            </w:pPr>
            <w:r>
              <w:rPr>
                <w:rFonts w:ascii="宋体" w:eastAsia="宋体"/>
                <w:b/>
                <w:i w:val="0"/>
                <w:color w:val="000000"/>
                <w:sz w:val="18"/>
                <w:szCs w:val="18"/>
              </w:rPr>
              <w:t>167.75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办公费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0"/>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印刷费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1"/>
              <w:jc w:val="right"/>
              <w:rPr>
                <w:rFonts w:ascii="宋体" w:eastAsia="宋体"/>
                <w:b w:val="0"/>
                <w:i w:val="0"/>
                <w:color w:val="000000"/>
                <w:sz w:val="18"/>
                <w:szCs w:val="18"/>
              </w:rPr>
            </w:pPr>
            <w:r>
              <w:rPr>
                <w:rFonts w:ascii="宋体" w:eastAsia="宋体"/>
                <w:b w:val="0"/>
                <w:i w:val="0"/>
                <w:color w:val="000000"/>
                <w:sz w:val="18"/>
                <w:szCs w:val="18"/>
              </w:rPr>
              <w:t>5</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咨询费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2"/>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手续费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0.1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3"/>
              <w:jc w:val="right"/>
              <w:rPr>
                <w:rFonts w:ascii="宋体" w:eastAsia="宋体"/>
                <w:b w:val="0"/>
                <w:i w:val="0"/>
                <w:color w:val="000000"/>
                <w:sz w:val="18"/>
                <w:szCs w:val="18"/>
              </w:rPr>
            </w:pPr>
            <w:r>
              <w:rPr>
                <w:rFonts w:ascii="宋体" w:eastAsia="宋体"/>
                <w:b w:val="0"/>
                <w:i w:val="0"/>
                <w:color w:val="000000"/>
                <w:sz w:val="18"/>
                <w:szCs w:val="18"/>
              </w:rPr>
              <w:t>0.1</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30205</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4"/>
              <w:jc w:val="right"/>
              <w:rPr>
                <w:rFonts w:ascii="宋体" w:eastAsia="宋体"/>
                <w:b w:val="0"/>
                <w:i w:val="0"/>
                <w:color w:val="000000"/>
                <w:sz w:val="18"/>
                <w:szCs w:val="18"/>
              </w:rPr>
            </w:pPr>
            <w:r>
              <w:rPr>
                <w:rFonts w:ascii="宋体" w:eastAsia="宋体"/>
                <w:b w:val="0"/>
                <w:i w:val="0"/>
                <w:color w:val="000000"/>
                <w:sz w:val="18"/>
                <w:szCs w:val="18"/>
              </w:rPr>
              <w:t>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25.13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5"/>
              <w:jc w:val="right"/>
              <w:rPr>
                <w:rFonts w:ascii="宋体" w:eastAsia="宋体"/>
                <w:b w:val="0"/>
                <w:i w:val="0"/>
                <w:color w:val="000000"/>
                <w:sz w:val="18"/>
                <w:szCs w:val="18"/>
              </w:rPr>
            </w:pPr>
            <w:r>
              <w:rPr>
                <w:rFonts w:ascii="宋体" w:eastAsia="宋体"/>
                <w:b w:val="0"/>
                <w:i w:val="0"/>
                <w:color w:val="000000"/>
                <w:sz w:val="18"/>
                <w:szCs w:val="18"/>
              </w:rPr>
              <w:t>25.13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邮电费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6"/>
              <w:jc w:val="right"/>
              <w:rPr>
                <w:rFonts w:ascii="宋体" w:eastAsia="宋体"/>
                <w:b w:val="0"/>
                <w:i w:val="0"/>
                <w:color w:val="000000"/>
                <w:sz w:val="18"/>
                <w:szCs w:val="18"/>
              </w:rPr>
            </w:pPr>
            <w:r>
              <w:rPr>
                <w:rFonts w:ascii="宋体" w:eastAsia="宋体"/>
                <w:b w:val="0"/>
                <w:i w:val="0"/>
                <w:color w:val="000000"/>
                <w:sz w:val="18"/>
                <w:szCs w:val="18"/>
              </w:rPr>
              <w:t>20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取暖费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7"/>
              <w:jc w:val="right"/>
              <w:rPr>
                <w:rFonts w:ascii="宋体" w:eastAsia="宋体"/>
                <w:b w:val="0"/>
                <w:i w:val="0"/>
                <w:color w:val="000000"/>
                <w:sz w:val="18"/>
                <w:szCs w:val="18"/>
              </w:rPr>
            </w:pPr>
            <w:r>
              <w:rPr>
                <w:rFonts w:ascii="宋体" w:eastAsia="宋体"/>
                <w:b w:val="0"/>
                <w:i w:val="0"/>
                <w:color w:val="000000"/>
                <w:sz w:val="18"/>
                <w:szCs w:val="18"/>
              </w:rPr>
              <w:t>20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物业管理费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8"/>
              <w:jc w:val="right"/>
              <w:rPr>
                <w:rFonts w:ascii="宋体" w:eastAsia="宋体"/>
                <w:b w:val="0"/>
                <w:i w:val="0"/>
                <w:color w:val="000000"/>
                <w:sz w:val="18"/>
                <w:szCs w:val="18"/>
              </w:rPr>
            </w:pPr>
            <w:r>
              <w:rPr>
                <w:rFonts w:ascii="宋体" w:eastAsia="宋体"/>
                <w:b w:val="0"/>
                <w:i w:val="0"/>
                <w:color w:val="000000"/>
                <w:sz w:val="18"/>
                <w:szCs w:val="18"/>
              </w:rPr>
              <w:t>10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差旅费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17.58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39"/>
              <w:jc w:val="right"/>
              <w:rPr>
                <w:rFonts w:ascii="宋体" w:eastAsia="宋体"/>
                <w:b w:val="0"/>
                <w:i w:val="0"/>
                <w:color w:val="000000"/>
                <w:sz w:val="18"/>
                <w:szCs w:val="18"/>
              </w:rPr>
            </w:pPr>
            <w:r>
              <w:rPr>
                <w:rFonts w:ascii="宋体" w:eastAsia="宋体"/>
                <w:b w:val="0"/>
                <w:i w:val="0"/>
                <w:color w:val="000000"/>
                <w:sz w:val="18"/>
                <w:szCs w:val="18"/>
              </w:rPr>
              <w:t>17.58</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维修（护）费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0"/>
              <w:jc w:val="right"/>
              <w:rPr>
                <w:rFonts w:ascii="宋体" w:eastAsia="宋体"/>
                <w:b w:val="0"/>
                <w:i w:val="0"/>
                <w:color w:val="000000"/>
                <w:sz w:val="18"/>
                <w:szCs w:val="18"/>
              </w:rPr>
            </w:pPr>
            <w:r>
              <w:rPr>
                <w:rFonts w:ascii="宋体" w:eastAsia="宋体"/>
                <w:b w:val="0"/>
                <w:i w:val="0"/>
                <w:color w:val="000000"/>
                <w:sz w:val="18"/>
                <w:szCs w:val="18"/>
              </w:rPr>
              <w:t>16</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租赁费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1"/>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30215</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会议费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2"/>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培训费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3"/>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公务接待费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0.74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4"/>
              <w:jc w:val="right"/>
              <w:rPr>
                <w:rFonts w:ascii="宋体" w:eastAsia="宋体"/>
                <w:b w:val="0"/>
                <w:i w:val="0"/>
                <w:color w:val="000000"/>
                <w:sz w:val="18"/>
                <w:szCs w:val="18"/>
              </w:rPr>
            </w:pPr>
            <w:r>
              <w:rPr>
                <w:rFonts w:ascii="宋体" w:eastAsia="宋体"/>
                <w:b w:val="0"/>
                <w:i w:val="0"/>
                <w:color w:val="000000"/>
                <w:sz w:val="18"/>
                <w:szCs w:val="18"/>
              </w:rPr>
              <w:t>0.74</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被装购置费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5"/>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劳务费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6.8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6"/>
              <w:jc w:val="right"/>
              <w:rPr>
                <w:rFonts w:ascii="宋体" w:eastAsia="宋体"/>
                <w:b w:val="0"/>
                <w:i w:val="0"/>
                <w:color w:val="000000"/>
                <w:sz w:val="18"/>
                <w:szCs w:val="18"/>
              </w:rPr>
            </w:pPr>
            <w:r>
              <w:rPr>
                <w:rFonts w:ascii="宋体" w:eastAsia="宋体"/>
                <w:b w:val="0"/>
                <w:i w:val="0"/>
                <w:color w:val="000000"/>
                <w:sz w:val="18"/>
                <w:szCs w:val="18"/>
              </w:rPr>
              <w:t>6.8</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委托业务费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7"/>
              <w:jc w:val="right"/>
              <w:rPr>
                <w:rFonts w:ascii="宋体" w:eastAsia="宋体"/>
                <w:b w:val="0"/>
                <w:i w:val="0"/>
                <w:color w:val="000000"/>
                <w:sz w:val="18"/>
                <w:szCs w:val="18"/>
              </w:rPr>
            </w:pPr>
            <w:r>
              <w:rPr>
                <w:rFonts w:ascii="宋体" w:eastAsia="宋体"/>
                <w:b w:val="0"/>
                <w:i w:val="0"/>
                <w:color w:val="000000"/>
                <w:sz w:val="18"/>
                <w:szCs w:val="18"/>
              </w:rPr>
              <w:t>10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工会经费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8"/>
              <w:jc w:val="right"/>
              <w:rPr>
                <w:rFonts w:ascii="宋体" w:eastAsia="宋体"/>
                <w:b w:val="0"/>
                <w:i w:val="0"/>
                <w:color w:val="000000"/>
                <w:sz w:val="18"/>
                <w:szCs w:val="18"/>
              </w:rPr>
            </w:pPr>
            <w:r>
              <w:rPr>
                <w:rFonts w:ascii="宋体" w:eastAsia="宋体"/>
                <w:b w:val="0"/>
                <w:i w:val="0"/>
                <w:color w:val="000000"/>
                <w:sz w:val="18"/>
                <w:szCs w:val="18"/>
              </w:rPr>
              <w:t>10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福利费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49"/>
              <w:jc w:val="right"/>
              <w:rPr>
                <w:rFonts w:ascii="宋体" w:eastAsia="宋体"/>
                <w:b w:val="0"/>
                <w:i w:val="0"/>
                <w:color w:val="000000"/>
                <w:sz w:val="18"/>
                <w:szCs w:val="18"/>
              </w:rPr>
            </w:pPr>
            <w:r>
              <w:rPr>
                <w:rFonts w:ascii="宋体" w:eastAsia="宋体"/>
                <w:b w:val="0"/>
                <w:i w:val="0"/>
                <w:color w:val="000000"/>
                <w:sz w:val="18"/>
                <w:szCs w:val="18"/>
              </w:rPr>
              <w:t>10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30231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公务用车运行维护费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50"/>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30239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其他交通费用</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51"/>
              <w:jc w:val="right"/>
              <w:rPr>
                <w:rFonts w:ascii="宋体" w:eastAsia="宋体"/>
                <w:b w:val="0"/>
                <w:i w:val="0"/>
                <w:color w:val="000000"/>
                <w:sz w:val="18"/>
                <w:szCs w:val="18"/>
              </w:rPr>
            </w:pPr>
            <w:r>
              <w:rPr>
                <w:rFonts w:ascii="宋体" w:eastAsia="宋体"/>
                <w:b w:val="0"/>
                <w:i w:val="0"/>
                <w:color w:val="000000"/>
                <w:sz w:val="18"/>
                <w:szCs w:val="18"/>
              </w:rPr>
              <w:t>8</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152"/>
              <w:jc w:val="right"/>
              <w:rPr>
                <w:rFonts w:ascii="宋体" w:eastAsia="宋体"/>
                <w:b w:val="0"/>
                <w:i w:val="0"/>
                <w:color w:val="000000"/>
                <w:sz w:val="18"/>
                <w:szCs w:val="18"/>
              </w:rPr>
            </w:pPr>
            <w:r>
              <w:rPr>
                <w:rFonts w:ascii="宋体" w:eastAsia="宋体"/>
                <w:b w:val="0"/>
                <w:i w:val="0"/>
                <w:color w:val="000000"/>
                <w:sz w:val="18"/>
                <w:szCs w:val="18"/>
              </w:rPr>
              <w:t>5.4</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25.00</w:t>
            </w:r>
          </w:p>
        </w:tc>
        <w:tc>
          <w:tcPr>
            <w:tcW w:w="1520" w:type="dxa"/>
            <w:tcBorders>
              <w:top w:val="nil"/>
              <w:left w:val="nil"/>
              <w:bottom w:val="single" w:sz="8" w:space="0" w:color="auto"/>
              <w:right w:val="single" w:sz="8" w:space="0" w:color="auto"/>
            </w:tcBorders>
            <w:shd w:val="clear" w:color="auto" w:fill="auto"/>
            <w:noWrap/>
            <w:vAlign w:val="center"/>
          </w:tcPr>
          <w:p>
            <w:pPr>
              <w:pStyle w:val="153"/>
              <w:jc w:val="right"/>
              <w:rPr>
                <w:rFonts w:ascii="宋体" w:eastAsia="宋体"/>
                <w:b/>
                <w:i w:val="0"/>
                <w:color w:val="000000"/>
                <w:sz w:val="18"/>
                <w:szCs w:val="18"/>
              </w:rPr>
            </w:pPr>
            <w:r>
              <w:rPr>
                <w:rFonts w:ascii="宋体" w:eastAsia="宋体"/>
                <w:b/>
                <w:i w:val="0"/>
                <w:color w:val="000000"/>
                <w:sz w:val="18"/>
                <w:szCs w:val="18"/>
              </w:rPr>
              <w:t>25.00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退休费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24.5</w:t>
            </w:r>
          </w:p>
        </w:tc>
        <w:tc>
          <w:tcPr>
            <w:tcW w:w="1520" w:type="dxa"/>
            <w:tcBorders>
              <w:top w:val="nil"/>
              <w:left w:val="nil"/>
              <w:bottom w:val="single" w:sz="8" w:space="0" w:color="auto"/>
              <w:right w:val="single" w:sz="8" w:space="0" w:color="auto"/>
            </w:tcBorders>
            <w:shd w:val="clear" w:color="auto" w:fill="auto"/>
            <w:noWrap/>
            <w:vAlign w:val="center"/>
          </w:tcPr>
          <w:p>
            <w:pPr>
              <w:pStyle w:val="154"/>
              <w:jc w:val="right"/>
              <w:rPr>
                <w:rFonts w:ascii="宋体" w:eastAsia="宋体"/>
                <w:b w:val="0"/>
                <w:i w:val="0"/>
                <w:color w:val="000000"/>
                <w:sz w:val="18"/>
                <w:szCs w:val="18"/>
              </w:rPr>
            </w:pPr>
            <w:r>
              <w:rPr>
                <w:rFonts w:ascii="宋体" w:eastAsia="宋体"/>
                <w:b w:val="0"/>
                <w:i w:val="0"/>
                <w:color w:val="000000"/>
                <w:sz w:val="18"/>
                <w:szCs w:val="18"/>
              </w:rPr>
              <w:t>24.5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30399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0.5</w:t>
            </w:r>
          </w:p>
        </w:tc>
        <w:tc>
          <w:tcPr>
            <w:tcW w:w="1520" w:type="dxa"/>
            <w:tcBorders>
              <w:top w:val="nil"/>
              <w:left w:val="nil"/>
              <w:bottom w:val="single" w:sz="8" w:space="0" w:color="auto"/>
              <w:right w:val="single" w:sz="8" w:space="0" w:color="auto"/>
            </w:tcBorders>
            <w:shd w:val="clear" w:color="auto" w:fill="auto"/>
            <w:noWrap/>
            <w:vAlign w:val="center"/>
          </w:tcPr>
          <w:p>
            <w:pPr>
              <w:pStyle w:val="155"/>
              <w:jc w:val="right"/>
              <w:rPr>
                <w:rFonts w:ascii="宋体" w:eastAsia="宋体"/>
                <w:b w:val="0"/>
                <w:i w:val="0"/>
                <w:color w:val="000000"/>
                <w:sz w:val="18"/>
                <w:szCs w:val="18"/>
              </w:rPr>
            </w:pPr>
            <w:r>
              <w:rPr>
                <w:rFonts w:ascii="宋体" w:eastAsia="宋体"/>
                <w:b w:val="0"/>
                <w:i w:val="0"/>
                <w:color w:val="000000"/>
                <w:sz w:val="18"/>
                <w:szCs w:val="18"/>
              </w:rPr>
              <w:t>0.5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资本性支出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6.00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6.00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31002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办公设备购置</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6.00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6.00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31003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专用设备购置</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4600" w:type="dxa"/>
            <w:gridSpan w:val="3"/>
            <w:tcBorders>
              <w:top w:val="nil"/>
              <w:left w:val="single" w:sz="8" w:space="0" w:color="auto"/>
              <w:bottom w:val="single" w:sz="8" w:space="0" w:color="auto"/>
              <w:right w:val="single" w:sz="8" w:space="0" w:color="auto"/>
            </w:tcBorders>
            <w:shd w:val="clear" w:color="auto" w:fill="auto"/>
            <w:noWrap/>
            <w:vAlign w:val="center"/>
          </w:tcPr>
          <w:p>
            <w:pPr>
              <w:pStyle w:val="87"/>
              <w:jc w:val="center"/>
              <w:rPr>
                <w:rFonts w:ascii="宋体"/>
                <w:b/>
                <w:i w:val="0"/>
                <w:strike w:val="0"/>
                <w:dstrike w:val="0"/>
                <w:color w:val="auto"/>
                <w:sz w:val="18"/>
                <w:szCs w:val="18"/>
              </w:rPr>
            </w:pPr>
            <w:r>
              <w:rPr>
                <w:rFonts w:ascii="宋体"/>
                <w:b/>
                <w:i w:val="0"/>
                <w:strike w:val="0"/>
                <w:dstrike w:val="0"/>
                <w:color w:val="auto"/>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rPr>
            </w:pPr>
            <w:r>
              <w:rPr>
                <w:rFonts w:ascii="宋体" w:eastAsia="宋体"/>
                <w:b/>
                <w:i w:val="0"/>
                <w:sz w:val="18"/>
                <w:szCs w:val="18"/>
              </w:rPr>
              <w:t>783.1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rPr>
            </w:pPr>
            <w:r>
              <w:rPr>
                <w:rFonts w:ascii="宋体" w:eastAsia="宋体"/>
                <w:b/>
                <w:i w:val="0"/>
                <w:sz w:val="18"/>
                <w:szCs w:val="18"/>
              </w:rPr>
              <w:t>609.35</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rPr>
            </w:pPr>
            <w:r>
              <w:rPr>
                <w:rFonts w:ascii="宋体" w:eastAsia="宋体"/>
                <w:b/>
                <w:i w:val="0"/>
                <w:sz w:val="18"/>
                <w:szCs w:val="18"/>
              </w:rPr>
              <w:t>173.75</w:t>
            </w:r>
          </w:p>
        </w:tc>
      </w:tr>
    </w:tbl>
    <w:p>
      <w:pPr>
        <w:widowControl/>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r>
        <w:rPr>
          <w:rFonts w:ascii="Times New Roman" w:eastAsia="方正仿宋_GBK" w:hAnsi="Times New Roman"/>
          <w:sz w:val="32"/>
          <w:szCs w:val="32"/>
        </w:rPr>
        <w:br w:type="page"/>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2023年政府性基金预算支出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：聊城</w:t>
      </w:r>
      <w:r>
        <w:rPr>
          <w:rFonts w:ascii="Times New Roman" w:eastAsia="方正仿宋_GBK" w:cs="Times New Roman" w:hAnsi="Times New Roman" w:hint="eastAsia"/>
          <w:sz w:val="24"/>
          <w:szCs w:val="24"/>
        </w:rPr>
        <w:t>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2023年国有资本经营预算支出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：聊城</w:t>
      </w:r>
      <w:r>
        <w:rPr>
          <w:rFonts w:ascii="Times New Roman" w:eastAsia="方正仿宋_GBK" w:cs="Times New Roman" w:hAnsi="Times New Roman" w:hint="eastAsia"/>
          <w:sz w:val="24"/>
          <w:szCs w:val="24"/>
        </w:rPr>
        <w:t>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rPr>
          <w:rFonts w:ascii="Times New Roman" w:eastAsia="方正仿宋_GBK" w:hAnsi="Times New Roman"/>
          <w:sz w:val="32"/>
          <w:szCs w:val="32"/>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3</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4</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pStyle w:val="156"/>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12.64</w:t>
            </w:r>
          </w:p>
        </w:tc>
        <w:tc>
          <w:tcPr>
            <w:tcW w:w="1108" w:type="dxa"/>
            <w:tcBorders>
              <w:top w:val="nil"/>
              <w:left w:val="nil"/>
              <w:bottom w:val="single" w:sz="4" w:space="0" w:color="auto"/>
              <w:right w:val="single" w:sz="4" w:space="0" w:color="auto"/>
            </w:tcBorders>
            <w:shd w:val="clear" w:color="auto" w:fill="auto"/>
            <w:noWrap/>
            <w:vAlign w:val="center"/>
          </w:tcPr>
          <w:p>
            <w:pPr>
              <w:pStyle w:val="157"/>
              <w:widowControl/>
              <w:jc w:val="right"/>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pStyle w:val="158"/>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11.9</w:t>
            </w:r>
          </w:p>
        </w:tc>
        <w:tc>
          <w:tcPr>
            <w:tcW w:w="1134" w:type="dxa"/>
            <w:tcBorders>
              <w:top w:val="nil"/>
              <w:left w:val="nil"/>
              <w:bottom w:val="single" w:sz="4" w:space="0" w:color="auto"/>
              <w:right w:val="single" w:sz="4" w:space="0" w:color="auto"/>
            </w:tcBorders>
            <w:shd w:val="clear" w:color="auto" w:fill="auto"/>
            <w:noWrap/>
            <w:vAlign w:val="center"/>
          </w:tcPr>
          <w:p>
            <w:pPr>
              <w:pStyle w:val="159"/>
              <w:widowControl/>
              <w:jc w:val="right"/>
              <w:rPr>
                <w:rFonts w:ascii="Times New Roman" w:cs="Times New Roman" w:hAnsi="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pStyle w:val="160"/>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11.9</w:t>
            </w:r>
          </w:p>
        </w:tc>
        <w:tc>
          <w:tcPr>
            <w:tcW w:w="1407" w:type="dxa"/>
            <w:tcBorders>
              <w:top w:val="nil"/>
              <w:left w:val="nil"/>
              <w:bottom w:val="single" w:sz="4" w:space="0" w:color="auto"/>
              <w:right w:val="single" w:sz="4" w:space="0" w:color="auto"/>
            </w:tcBorders>
            <w:shd w:val="clear" w:color="auto" w:fill="auto"/>
            <w:noWrap/>
            <w:vAlign w:val="center"/>
          </w:tcPr>
          <w:p>
            <w:pPr>
              <w:pStyle w:val="161"/>
              <w:widowControl/>
              <w:jc w:val="right"/>
              <w:rPr>
                <w:rFonts w:ascii="Times New Roman" w:cs="Times New Roman" w:hAnsi="Times New Roman"/>
                <w:kern w:val="0"/>
                <w:sz w:val="20"/>
                <w:szCs w:val="20"/>
              </w:rPr>
            </w:pPr>
            <w:r>
              <w:rPr>
                <w:rFonts w:ascii="Times New Roman" w:cs="Times New Roman" w:hAnsi="Times New Roman" w:hint="eastAsia"/>
                <w:kern w:val="0"/>
                <w:sz w:val="20"/>
                <w:szCs w:val="20"/>
              </w:rPr>
              <w:t>0.74</w:t>
            </w:r>
          </w:p>
        </w:tc>
        <w:tc>
          <w:tcPr>
            <w:tcW w:w="96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8.3</w:t>
            </w:r>
          </w:p>
        </w:tc>
        <w:tc>
          <w:tcPr>
            <w:tcW w:w="1272" w:type="dxa"/>
            <w:tcBorders>
              <w:top w:val="nil"/>
              <w:left w:val="nil"/>
              <w:bottom w:val="single" w:sz="4" w:space="0" w:color="auto"/>
              <w:right w:val="single" w:sz="4" w:space="0" w:color="auto"/>
            </w:tcBorders>
            <w:shd w:val="clear" w:color="auto" w:fill="auto"/>
            <w:noWrap/>
            <w:vAlign w:val="center"/>
          </w:tcPr>
          <w:p>
            <w:pPr>
              <w:widowControl/>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hint="eastAsia"/>
                <w:kern w:val="0"/>
                <w:sz w:val="20"/>
                <w:szCs w:val="20"/>
              </w:rPr>
            </w:pPr>
            <w:r>
              <w:rPr>
                <w:rFonts w:ascii="Times New Roman" w:cs="Times New Roman" w:hAnsi="Times New Roman"/>
                <w:kern w:val="0"/>
                <w:sz w:val="20"/>
                <w:szCs w:val="20"/>
              </w:rPr>
              <w:t>7.56</w:t>
            </w: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hint="eastAsia"/>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hint="eastAsia"/>
                <w:kern w:val="0"/>
                <w:sz w:val="20"/>
                <w:szCs w:val="20"/>
              </w:rPr>
            </w:pPr>
            <w:r>
              <w:rPr>
                <w:rFonts w:ascii="Times New Roman" w:cs="Times New Roman" w:hAnsi="Times New Roman"/>
                <w:kern w:val="0"/>
                <w:sz w:val="20"/>
                <w:szCs w:val="20"/>
              </w:rPr>
              <w:t>7.56</w:t>
            </w:r>
          </w:p>
        </w:tc>
        <w:tc>
          <w:tcPr>
            <w:tcW w:w="144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kern w:val="0"/>
                <w:sz w:val="20"/>
                <w:szCs w:val="20"/>
              </w:rPr>
              <w:t>0.74</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b/>
          <w:sz w:val="80"/>
          <w:szCs w:val="80"/>
        </w:rPr>
        <w:t>聊城</w:t>
      </w:r>
      <w:r>
        <w:rPr>
          <w:rFonts w:ascii="Times New Roman" w:hAnsi="Times New Roman" w:hint="eastAsia"/>
          <w:b/>
          <w:sz w:val="80"/>
          <w:szCs w:val="80"/>
        </w:rPr>
        <w:t>海关</w:t>
      </w:r>
      <w:r>
        <w:rPr>
          <w:rFonts w:ascii="Times New Roman" w:hAnsi="Times New Roman"/>
          <w:b/>
          <w:sz w:val="80"/>
          <w:szCs w:val="80"/>
        </w:rPr>
        <w:t>2024</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一、关于聊城海关2024年收支预算情况的总体说明</w:t>
      </w:r>
    </w:p>
    <w:p>
      <w:pPr>
        <w:pStyle w:val="162"/>
        <w:spacing w:line="560" w:lineRule="exact"/>
        <w:ind w:firstLine="644"/>
        <w:jc w:val="left"/>
        <w:rPr>
          <w:rFonts w:ascii="宋体" w:eastAsia="方正仿宋_GBK" w:cs="Times New Roman" w:hAnsi="宋体"/>
          <w:kern w:val="0"/>
          <w:sz w:val="32"/>
          <w:szCs w:val="32"/>
        </w:rPr>
      </w:pPr>
      <w:r>
        <w:rPr>
          <w:rFonts w:ascii="Times New Roman" w:eastAsia="方正仿宋_GBK" w:cs="方正仿宋_GBK" w:hAnsi="Times New Roman" w:hint="eastAsia"/>
          <w:sz w:val="32"/>
          <w:szCs w:val="32"/>
        </w:rPr>
        <w:t>按照综合预算的原则，聊城海关所有收入和支出均纳入部门预算管理。收入包括：一般公共预算拨款收入、其他收入、上年结转；支出包括：一般公共服务支出、社会保障和就业支出、卫生健康支出、住房保障支出。聊城海关</w:t>
      </w:r>
      <w:r>
        <w:rPr>
          <w:rFonts w:ascii="Times New Roman" w:eastAsia="方正仿宋_GBK" w:cs="Times New Roman" w:hAnsi="Times New Roman"/>
          <w:sz w:val="32"/>
          <w:szCs w:val="32"/>
        </w:rPr>
        <w:t>2024</w:t>
      </w:r>
      <w:r>
        <w:rPr>
          <w:rFonts w:ascii="Times New Roman" w:eastAsia="方正仿宋_GBK" w:cs="方正仿宋_GBK" w:hAnsi="Times New Roman" w:hint="eastAsia"/>
          <w:sz w:val="32"/>
          <w:szCs w:val="32"/>
        </w:rPr>
        <w:t>年收支总预算</w:t>
      </w:r>
      <w:r>
        <w:rPr>
          <w:rFonts w:ascii="Times New Roman" w:eastAsia="方正仿宋_GBK" w:cs="方正仿宋_GBK" w:hAnsi="Times New Roman"/>
          <w:sz w:val="32"/>
          <w:szCs w:val="32"/>
        </w:rPr>
        <w:t>1640.76</w:t>
      </w:r>
      <w:r>
        <w:rPr>
          <w:rFonts w:ascii="Times New Roman" w:eastAsia="方正仿宋_GBK" w:cs="方正仿宋_GBK" w:hAnsi="Times New Roman" w:hint="eastAsia"/>
          <w:sz w:val="32"/>
          <w:szCs w:val="32"/>
        </w:rPr>
        <w:t>万元。</w:t>
      </w:r>
    </w:p>
    <w:p>
      <w:pPr>
        <w:pStyle w:val="18"/>
        <w:spacing w:line="560" w:lineRule="exact"/>
        <w:ind w:firstLineChars="200" w:firstLine="640"/>
        <w:rPr>
          <w:rFonts w:eastAsia="方正黑体_GBK"/>
          <w:sz w:val="32"/>
          <w:szCs w:val="32"/>
        </w:rPr>
      </w:pPr>
      <w:r>
        <w:rPr>
          <w:rFonts w:eastAsia="方正黑体_GBK"/>
          <w:sz w:val="32"/>
          <w:szCs w:val="32"/>
        </w:rPr>
        <w:t>二、关于聊城海关2024年收入预算情况说明</w:t>
      </w:r>
    </w:p>
    <w:p>
      <w:pPr>
        <w:pStyle w:val="18"/>
        <w:spacing w:line="560" w:lineRule="exact"/>
        <w:ind w:firstLineChars="200" w:firstLine="640"/>
        <w:rPr>
          <w:rFonts w:eastAsia="方正仿宋_GBK"/>
          <w:sz w:val="32"/>
          <w:szCs w:val="32"/>
        </w:rPr>
      </w:pPr>
      <w:r>
        <w:rPr>
          <w:rFonts w:eastAsia="方正仿宋_GBK"/>
          <w:sz w:val="32"/>
          <w:szCs w:val="32"/>
        </w:rPr>
        <w:t>聊城海关2024年收入预算1640.76万元，其中：上年结转 127.65万元，占7.78%；一般公共预算财政拨款  826.78万元，占50.39%；其他收入686.33万元，占41.83%。</w:t>
      </w:r>
    </w:p>
    <w:p>
      <w:pPr>
        <w:pStyle w:val="18"/>
        <w:spacing w:line="560" w:lineRule="exact"/>
        <w:ind w:firstLineChars="200" w:firstLine="420"/>
        <w:rPr>
          <w:rFonts w:eastAsia="方正仿宋_GBK"/>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10.50016pt;margin-top:24.254055pt;width:404.24384pt;height:248.99625pt;z-index:16;mso-position-horizontal:absolute;mso-position-vertical:absolute;mso-wrap-distance-left:8.999863pt;mso-wrap-distance-right:8.999863pt;" o:ole="">
            <v:stroke color="#000000"/>
            <v:imagedata r:id="rId5" o:title="9697264861715157633443"/>
            <o:lock aspectratio="t"/>
            <w10:wrap type="topAndBottom"/>
          </v:shape>
          <o:OLEObject Type="Embed" ProgID="Package" ShapeID="_x0000_i1" DrawAspect="Icon" ObjectID="_1393063351" r:id="rId6"/>
        </w:object>
      </w:r>
    </w:p>
    <w:p>
      <w:pPr>
        <w:pStyle w:val="18"/>
        <w:spacing w:line="560" w:lineRule="exact"/>
        <w:ind w:left="0" w:firstLineChars="200" w:firstLine="640"/>
        <w:rPr>
          <w:rFonts w:eastAsia="方正仿宋_GBK"/>
          <w:sz w:val="32"/>
          <w:szCs w:val="32"/>
        </w:rPr>
      </w:pPr>
      <w:r>
        <w:rPr>
          <w:rFonts w:eastAsia="方正黑体_GBK" w:hint="eastAsia"/>
          <w:sz w:val="32"/>
          <w:szCs w:val="32"/>
        </w:rPr>
        <w:t>三、关于</w:t>
      </w:r>
      <w:r>
        <w:rPr>
          <w:rFonts w:eastAsia="方正黑体_GBK"/>
          <w:sz w:val="32"/>
          <w:szCs w:val="32"/>
        </w:rPr>
        <w:t>聊城</w:t>
      </w:r>
      <w:r>
        <w:rPr>
          <w:rFonts w:eastAsia="方正黑体_GBK" w:hint="eastAsia"/>
          <w:sz w:val="32"/>
          <w:szCs w:val="32"/>
        </w:rPr>
        <w:t>海关</w:t>
      </w:r>
      <w:r>
        <w:rPr>
          <w:rFonts w:eastAsia="方正黑体_GBK"/>
          <w:sz w:val="32"/>
          <w:szCs w:val="32"/>
        </w:rPr>
        <w:t>2024</w:t>
      </w:r>
      <w:r>
        <w:rPr>
          <w:rFonts w:eastAsia="方正黑体_GBK" w:hint="eastAsia"/>
          <w:sz w:val="32"/>
          <w:szCs w:val="32"/>
        </w:rPr>
        <w:t>年支出预算情况说明</w:t>
      </w:r>
    </w:p>
    <w:p>
      <w:pPr>
        <w:pStyle w:val="18"/>
        <w:spacing w:line="560" w:lineRule="exact"/>
        <w:ind w:firstLineChars="200" w:firstLine="640"/>
        <w:rPr>
          <w:rFonts w:eastAsia="方正仿宋_GBK"/>
          <w:sz w:val="32"/>
          <w:szCs w:val="32"/>
        </w:rPr>
      </w:pPr>
      <w:r>
        <w:rPr>
          <w:rFonts w:eastAsia="方正仿宋_GBK"/>
          <w:sz w:val="32"/>
          <w:szCs w:val="32"/>
        </w:rPr>
        <w:t>聊城</w:t>
      </w:r>
      <w:r>
        <w:rPr>
          <w:rFonts w:eastAsia="方正仿宋_GBK" w:hint="eastAsia"/>
          <w:sz w:val="32"/>
          <w:szCs w:val="32"/>
        </w:rPr>
        <w:t>海关</w:t>
      </w:r>
      <w:r>
        <w:rPr>
          <w:rFonts w:eastAsia="方正仿宋_GBK"/>
          <w:sz w:val="32"/>
          <w:szCs w:val="32"/>
        </w:rPr>
        <w:t>2024</w:t>
      </w:r>
      <w:r>
        <w:rPr>
          <w:rFonts w:eastAsia="方正仿宋_GBK" w:hint="eastAsia"/>
          <w:sz w:val="32"/>
          <w:szCs w:val="32"/>
        </w:rPr>
        <w:t>年支出预算</w:t>
      </w:r>
      <w:r>
        <w:rPr>
          <w:rFonts w:eastAsia="方正仿宋_GBK"/>
          <w:sz w:val="32"/>
          <w:szCs w:val="32"/>
        </w:rPr>
        <w:t>1640.76</w:t>
      </w:r>
      <w:r>
        <w:rPr>
          <w:rFonts w:eastAsia="方正仿宋_GBK" w:hint="eastAsia"/>
          <w:sz w:val="32"/>
          <w:szCs w:val="32"/>
        </w:rPr>
        <w:t>万元，其中：基本支出</w:t>
      </w:r>
      <w:r>
        <w:rPr>
          <w:rFonts w:eastAsia="方正仿宋_GBK"/>
          <w:sz w:val="32"/>
          <w:szCs w:val="32"/>
        </w:rPr>
        <w:t>1597.08</w:t>
      </w:r>
      <w:r>
        <w:rPr>
          <w:rFonts w:eastAsia="方正仿宋_GBK" w:hint="eastAsia"/>
          <w:sz w:val="32"/>
          <w:szCs w:val="32"/>
        </w:rPr>
        <w:t>万元，占</w:t>
      </w:r>
      <w:r>
        <w:rPr>
          <w:rFonts w:eastAsia="方正仿宋_GBK"/>
          <w:sz w:val="32"/>
          <w:szCs w:val="32"/>
        </w:rPr>
        <w:t>97.34%</w:t>
      </w:r>
      <w:r>
        <w:rPr>
          <w:rFonts w:eastAsia="方正仿宋_GBK" w:hint="eastAsia"/>
          <w:sz w:val="32"/>
          <w:szCs w:val="32"/>
        </w:rPr>
        <w:t>；项目支出</w:t>
      </w:r>
      <w:r>
        <w:rPr>
          <w:rFonts w:eastAsia="方正仿宋_GBK"/>
          <w:sz w:val="32"/>
          <w:szCs w:val="32"/>
        </w:rPr>
        <w:t>43.68</w:t>
      </w:r>
      <w:r>
        <w:rPr>
          <w:rFonts w:eastAsia="方正仿宋_GBK" w:hint="eastAsia"/>
          <w:sz w:val="32"/>
          <w:szCs w:val="32"/>
        </w:rPr>
        <w:t>万元，占</w:t>
      </w:r>
      <w:r>
        <w:rPr>
          <w:rFonts w:eastAsia="方正仿宋_GBK"/>
          <w:sz w:val="32"/>
          <w:szCs w:val="32"/>
        </w:rPr>
        <w:t>2.66%</w:t>
      </w:r>
      <w:r>
        <w:rPr>
          <w:rFonts w:eastAsia="方正仿宋_GBK" w:hint="eastAsia"/>
          <w:sz w:val="32"/>
          <w:szCs w:val="32"/>
        </w:rPr>
        <w:t>。</w:t>
      </w:r>
    </w:p>
    <w:p>
      <w:pPr>
        <w:pStyle w:val="18"/>
        <w:spacing w:line="560" w:lineRule="exact"/>
        <w:ind w:firstLineChars="200" w:firstLine="420"/>
      </w:pPr>
    </w:p>
    <w:p>
      <w:pPr>
        <w:pStyle w:val="18"/>
        <w:spacing w:line="560" w:lineRule="exact"/>
        <w:ind w:firstLineChars="200" w:firstLine="420"/>
      </w:pPr>
      <w:r>
        <w:object>
          <v:shape id="_x0000_i2" type="#_x0000_t75" filled="f" stroked="f" style="position:absolute;margin-left:15.75008pt;margin-top:31.007523pt;width:388.49408pt;height:233.24644pt;z-index:15;mso-position-horizontal:absolute;mso-position-vertical:absolute;mso-wrap-distance-left:8.999863pt;mso-wrap-distance-right:8.999863pt;" o:ole="">
            <v:stroke color="#000000"/>
            <v:imagedata r:id="rId7" o:title="3476129501715157633447"/>
            <o:lock aspectratio="t"/>
            <w10:wrap type="topAndBottom"/>
          </v:shape>
          <o:OLEObject Type="Embed" ProgID="Package" ShapeID="_x0000_i2" DrawAspect="Icon" ObjectID="_1393063352" r:id="rId8"/>
        </w:object>
      </w:r>
    </w:p>
    <w:p>
      <w:pPr>
        <w:pStyle w:val="18"/>
        <w:spacing w:line="560" w:lineRule="exact"/>
        <w:ind w:firstLineChars="200" w:firstLine="420"/>
      </w:pPr>
    </w:p>
    <w:p>
      <w:pPr>
        <w:pStyle w:val="18"/>
        <w:spacing w:line="560" w:lineRule="exact"/>
        <w:ind w:firstLineChars="200" w:firstLine="420"/>
      </w:pPr>
    </w:p>
    <w:p>
      <w:pPr>
        <w:pStyle w:val="18"/>
        <w:spacing w:line="560" w:lineRule="exact"/>
        <w:ind w:firstLineChars="200" w:firstLine="640"/>
        <w:rPr>
          <w:rFonts w:eastAsia="方正黑体_GBK"/>
          <w:sz w:val="32"/>
          <w:szCs w:val="32"/>
        </w:rPr>
      </w:pPr>
      <w:r>
        <w:rPr>
          <w:rFonts w:eastAsia="方正黑体_GBK" w:hint="eastAsia"/>
          <w:sz w:val="32"/>
          <w:szCs w:val="32"/>
        </w:rPr>
        <w:t>四、关于</w:t>
      </w:r>
      <w:r>
        <w:rPr>
          <w:rFonts w:eastAsia="方正黑体_GBK"/>
          <w:sz w:val="32"/>
          <w:szCs w:val="32"/>
        </w:rPr>
        <w:t>聊城</w:t>
      </w:r>
      <w:r>
        <w:rPr>
          <w:rFonts w:eastAsia="方正黑体_GBK" w:hint="eastAsia"/>
          <w:sz w:val="32"/>
          <w:szCs w:val="32"/>
        </w:rPr>
        <w:t>海关202</w:t>
      </w:r>
      <w:r>
        <w:rPr>
          <w:rFonts w:eastAsia="方正黑体_GBK"/>
          <w:sz w:val="32"/>
          <w:szCs w:val="32"/>
        </w:rPr>
        <w:t>4</w:t>
      </w:r>
      <w:r>
        <w:rPr>
          <w:rFonts w:eastAsia="方正黑体_GBK" w:hint="eastAsia"/>
          <w:sz w:val="32"/>
          <w:szCs w:val="32"/>
        </w:rPr>
        <w:t>年财政拨款收支预算情况的总体说明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聊城</w:t>
      </w:r>
      <w:r>
        <w:rPr>
          <w:rFonts w:ascii="Times New Roman" w:eastAsia="方正仿宋_GBK" w:hAnsi="Times New Roman" w:hint="eastAsia"/>
          <w:sz w:val="32"/>
          <w:szCs w:val="32"/>
        </w:rPr>
        <w:t>海关20</w:t>
      </w:r>
      <w:r>
        <w:rPr>
          <w:rFonts w:ascii="Times New Roman" w:eastAsia="方正仿宋_GBK" w:hAnsi="Times New Roman"/>
          <w:sz w:val="32"/>
          <w:szCs w:val="32"/>
        </w:rPr>
        <w:t>24</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826.78</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sz w:val="32"/>
          <w:szCs w:val="32"/>
        </w:rPr>
        <w:t>826.78</w:t>
      </w:r>
      <w:r>
        <w:rPr>
          <w:rFonts w:ascii="Times New Roman" w:eastAsia="方正仿宋_GBK" w:hAnsi="Times New Roman" w:hint="eastAsia"/>
          <w:sz w:val="32"/>
          <w:szCs w:val="32"/>
        </w:rPr>
        <w:t>万元。支出包括：一般公共服务支出</w:t>
      </w:r>
      <w:r>
        <w:rPr>
          <w:rFonts w:ascii="Times New Roman" w:eastAsia="方正仿宋_GBK" w:hAnsi="Times New Roman"/>
          <w:sz w:val="32"/>
          <w:szCs w:val="32"/>
        </w:rPr>
        <w:t>617.41</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88.09</w:t>
      </w:r>
      <w:r>
        <w:rPr>
          <w:rFonts w:ascii="Times New Roman" w:eastAsia="方正仿宋_GBK" w:hAnsi="Times New Roman" w:hint="eastAsia"/>
          <w:sz w:val="32"/>
          <w:szCs w:val="32"/>
        </w:rPr>
        <w:t>万元、卫生健康支出</w:t>
      </w:r>
      <w:r>
        <w:rPr>
          <w:rFonts w:ascii="Times New Roman" w:eastAsia="方正仿宋_GBK" w:hAnsi="Times New Roman"/>
          <w:sz w:val="32"/>
          <w:szCs w:val="32"/>
        </w:rPr>
        <w:t>31.74</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89.54</w:t>
      </w:r>
      <w:r>
        <w:rPr>
          <w:rFonts w:ascii="Times New Roman" w:eastAsia="方正仿宋_GBK" w:hAnsi="Times New Roman" w:hint="eastAsia"/>
          <w:sz w:val="32"/>
          <w:szCs w:val="32"/>
        </w:rPr>
        <w:t>万元。</w:t>
      </w:r>
    </w:p>
    <w:p>
      <w:pPr>
        <w:spacing w:line="560" w:lineRule="exact"/>
        <w:ind w:firstLineChars="200" w:firstLine="420"/>
      </w:pPr>
    </w:p>
    <w:p>
      <w:pPr>
        <w:spacing w:line="560" w:lineRule="exact"/>
        <w:ind w:firstLineChars="200" w:firstLine="420"/>
        <w:rPr>
          <w:rFonts w:ascii="Times New Roman" w:eastAsia="方正仿宋_GBK" w:hAnsi="Times New Roman"/>
          <w:sz w:val="32"/>
          <w:szCs w:val="32"/>
        </w:rPr>
      </w:pPr>
      <w:r>
        <w:object>
          <v:shape id="_x0000_i3" type="#_x0000_t75" filled="f" stroked="f" style="position:absolute;margin-left:10.50016pt;margin-top:3.5121555pt;width:399.74393pt;height:204.74684pt;z-index:17;mso-position-horizontal:absolute;mso-position-vertical:absolute;mso-wrap-distance-left:8.999863pt;mso-wrap-distance-right:8.999863pt;" o:ole="">
            <v:stroke color="#000000"/>
            <v:imagedata r:id="rId9" o:title="708940671715157633450"/>
            <o:lock aspectratio="t"/>
            <w10:wrap type="topAndBottom"/>
          </v:shape>
          <o:OLEObject Type="Embed" ProgID="Package" ShapeID="_x0000_i3" DrawAspect="Icon" ObjectID="_1393063353" r:id="rId10"/>
        </w:object>
      </w:r>
    </w:p>
    <w:p>
      <w:pPr>
        <w:spacing w:line="560" w:lineRule="exact"/>
        <w:ind w:left="0"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w:t>
      </w:r>
      <w:r>
        <w:rPr>
          <w:rFonts w:ascii="Times New Roman" w:eastAsia="方正黑体_GBK" w:hAnsi="Times New Roman"/>
          <w:sz w:val="32"/>
          <w:szCs w:val="32"/>
        </w:rPr>
        <w:t>聊城</w:t>
      </w:r>
      <w:r>
        <w:rPr>
          <w:rFonts w:ascii="Times New Roman" w:eastAsia="方正黑体_GBK" w:hAnsi="Times New Roman" w:hint="eastAsia"/>
          <w:sz w:val="32"/>
          <w:szCs w:val="32"/>
        </w:rPr>
        <w:t>海关202</w:t>
      </w:r>
      <w:r>
        <w:rPr>
          <w:rFonts w:ascii="Times New Roman" w:eastAsia="方正黑体_GBK" w:hAnsi="Times New Roman"/>
          <w:sz w:val="32"/>
          <w:szCs w:val="32"/>
        </w:rPr>
        <w:t>4</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聊城</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年一般公共预算当年财政拨款预算</w:t>
      </w:r>
      <w:r>
        <w:rPr>
          <w:rFonts w:ascii="Times New Roman" w:eastAsia="方正仿宋_GBK" w:hAnsi="Times New Roman"/>
          <w:sz w:val="32"/>
          <w:szCs w:val="32"/>
        </w:rPr>
        <w:t>826.78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87.61</w:t>
      </w:r>
      <w:r>
        <w:rPr>
          <w:rFonts w:ascii="Times New Roman" w:eastAsia="方正仿宋_GBK" w:hAnsi="Times New Roman" w:hint="eastAsia"/>
          <w:sz w:val="32"/>
          <w:szCs w:val="32"/>
        </w:rPr>
        <w:t xml:space="preserve"> 万元，压减9</w:t>
      </w:r>
      <w:r>
        <w:rPr>
          <w:rFonts w:ascii="Times New Roman" w:eastAsia="方正仿宋_GBK" w:hAnsi="Times New Roman"/>
          <w:sz w:val="32"/>
          <w:szCs w:val="32"/>
        </w:rPr>
        <w:t>.58</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，聊城海关坚决落实党政机关习惯过紧日子要求，</w:t>
      </w:r>
      <w:r>
        <w:rPr>
          <w:rFonts w:ascii="Times New Roman" w:eastAsia="方正仿宋_GBK" w:hAnsi="Times New Roman" w:hint="eastAsia"/>
          <w:sz w:val="32"/>
          <w:szCs w:val="32"/>
        </w:rPr>
        <w:t>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重点压减非急需非刚性支出，同时合理保障了海关关务、海关监管等必要支出需求，体现在有关支出科目中。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sz w:val="32"/>
          <w:szCs w:val="32"/>
        </w:rPr>
        <w:t>617.41</w:t>
      </w:r>
      <w:r>
        <w:rPr>
          <w:rFonts w:ascii="Times New Roman" w:eastAsia="方正仿宋_GBK" w:hAnsi="Times New Roman" w:hint="eastAsia"/>
          <w:sz w:val="32"/>
          <w:szCs w:val="32"/>
        </w:rPr>
        <w:t>万元，占</w:t>
      </w:r>
      <w:r>
        <w:rPr>
          <w:rFonts w:ascii="Times New Roman" w:eastAsia="方正仿宋_GBK" w:hAnsi="Times New Roman"/>
          <w:sz w:val="32"/>
          <w:szCs w:val="32"/>
        </w:rPr>
        <w:t>74.68</w:t>
      </w:r>
      <w:r>
        <w:rPr>
          <w:rFonts w:ascii="Times New Roman" w:eastAsia="方正仿宋_GBK" w:hAnsi="Times New Roman" w:hint="eastAsia"/>
          <w:sz w:val="32"/>
          <w:szCs w:val="32"/>
        </w:rPr>
        <w:t>%；社会保障和就业（类）支出</w:t>
      </w:r>
      <w:r>
        <w:rPr>
          <w:rFonts w:ascii="Times New Roman" w:eastAsia="方正仿宋_GBK" w:hAnsi="Times New Roman"/>
          <w:sz w:val="32"/>
          <w:szCs w:val="32"/>
        </w:rPr>
        <w:t>88.09</w:t>
      </w:r>
      <w:r>
        <w:rPr>
          <w:rFonts w:ascii="Times New Roman" w:eastAsia="方正仿宋_GBK" w:hAnsi="Times New Roman" w:hint="eastAsia"/>
          <w:sz w:val="32"/>
          <w:szCs w:val="32"/>
        </w:rPr>
        <w:t>万元，占</w:t>
      </w:r>
      <w:r>
        <w:rPr>
          <w:rFonts w:ascii="Times New Roman" w:eastAsia="方正仿宋_GBK" w:hAnsi="Times New Roman"/>
          <w:sz w:val="32"/>
          <w:szCs w:val="32"/>
        </w:rPr>
        <w:t>10.65</w:t>
      </w:r>
      <w:r>
        <w:rPr>
          <w:rFonts w:ascii="Times New Roman" w:eastAsia="方正仿宋_GBK" w:hAnsi="Times New Roman" w:hint="eastAsia"/>
          <w:sz w:val="32"/>
          <w:szCs w:val="32"/>
        </w:rPr>
        <w:t>%；卫生健康（类）支出</w:t>
      </w:r>
      <w:r>
        <w:rPr>
          <w:rFonts w:ascii="Times New Roman" w:eastAsia="方正仿宋_GBK" w:hAnsi="Times New Roman"/>
          <w:sz w:val="32"/>
          <w:szCs w:val="32"/>
        </w:rPr>
        <w:t>31.74</w:t>
      </w:r>
      <w:r>
        <w:rPr>
          <w:rFonts w:ascii="Times New Roman" w:eastAsia="方正仿宋_GBK" w:hAnsi="Times New Roman" w:hint="eastAsia"/>
          <w:sz w:val="32"/>
          <w:szCs w:val="32"/>
        </w:rPr>
        <w:t>万元，占3.</w:t>
      </w:r>
      <w:r>
        <w:rPr>
          <w:rFonts w:ascii="Times New Roman" w:eastAsia="方正仿宋_GBK" w:hAnsi="Times New Roman"/>
          <w:sz w:val="32"/>
          <w:szCs w:val="32"/>
        </w:rPr>
        <w:t>84</w:t>
      </w:r>
      <w:r>
        <w:rPr>
          <w:rFonts w:ascii="Times New Roman" w:eastAsia="方正仿宋_GBK" w:hAnsi="Times New Roman" w:hint="eastAsia"/>
          <w:sz w:val="32"/>
          <w:szCs w:val="32"/>
        </w:rPr>
        <w:t>%；住房保障（类）支出</w:t>
      </w:r>
      <w:r>
        <w:rPr>
          <w:rFonts w:ascii="Times New Roman" w:eastAsia="方正仿宋_GBK" w:hAnsi="Times New Roman"/>
          <w:sz w:val="32"/>
          <w:szCs w:val="32"/>
        </w:rPr>
        <w:t>89.54</w:t>
      </w:r>
      <w:r>
        <w:rPr>
          <w:rFonts w:ascii="Times New Roman" w:eastAsia="方正仿宋_GBK" w:hAnsi="Times New Roman" w:hint="eastAsia"/>
          <w:sz w:val="32"/>
          <w:szCs w:val="32"/>
        </w:rPr>
        <w:t>万元，占1</w:t>
      </w:r>
      <w:r>
        <w:rPr>
          <w:rFonts w:ascii="Times New Roman" w:eastAsia="方正仿宋_GBK" w:hAnsi="Times New Roman"/>
          <w:sz w:val="32"/>
          <w:szCs w:val="32"/>
        </w:rPr>
        <w:t>0.83</w:t>
      </w:r>
      <w:r>
        <w:rPr>
          <w:rFonts w:ascii="Times New Roman" w:eastAsia="方正仿宋_GBK" w:hAnsi="Times New Roman" w:hint="eastAsia"/>
          <w:sz w:val="32"/>
          <w:szCs w:val="32"/>
        </w:rPr>
        <w:t>%。</w:t>
      </w:r>
    </w:p>
    <w:p>
      <w:pPr>
        <w:spacing w:line="560" w:lineRule="exact"/>
        <w:ind w:firstLineChars="200" w:firstLine="420"/>
      </w:pPr>
      <w:r>
        <w:object>
          <v:shape id="_x0000_i4" type="#_x0000_t75" filled="f" stroked="f" style="position:absolute;margin-left:15.75008pt;margin-top:26.748074pt;width:378.74423pt;height:170.99739pt;z-index:18;mso-position-horizontal:absolute;mso-position-vertical:absolute;mso-wrap-distance-left:8.999863pt;mso-wrap-distance-right:8.999863pt;" o:ole="">
            <v:stroke color="#000000"/>
            <v:imagedata r:id="rId11" o:title="8629131011715157633455"/>
            <o:lock aspectratio="t"/>
            <w10:wrap type="topAndBottom"/>
          </v:shape>
          <o:OLEObject Type="Embed" ProgID="Package" ShapeID="_x0000_i4" DrawAspect="Icon" ObjectID="_1393063354" r:id="rId12"/>
        </w:object>
      </w:r>
    </w:p>
    <w:p>
      <w:pPr>
        <w:spacing w:line="560" w:lineRule="exact"/>
        <w:ind w:firstLineChars="200" w:firstLine="640"/>
        <w:rPr>
          <w:rFonts w:ascii="Times New Roman" w:eastAsia="方正仿宋_GBK" w:hAnsi="Times New Roman"/>
          <w:sz w:val="32"/>
          <w:szCs w:val="32"/>
        </w:rPr>
      </w:pP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617.41</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 xml:space="preserve">95.86 </w:t>
      </w:r>
      <w:r>
        <w:rPr>
          <w:rFonts w:ascii="Times New Roman" w:eastAsia="方正仿宋_GBK" w:hAnsi="Times New Roman" w:hint="eastAsia"/>
          <w:sz w:val="32"/>
          <w:szCs w:val="32"/>
        </w:rPr>
        <w:t>万元，下降</w:t>
      </w:r>
      <w:r>
        <w:rPr>
          <w:rFonts w:ascii="Times New Roman" w:eastAsia="方正仿宋_GBK" w:hAnsi="Times New Roman"/>
          <w:sz w:val="32"/>
          <w:szCs w:val="32"/>
        </w:rPr>
        <w:t>13.44</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573.73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 xml:space="preserve">7.06 </w:t>
      </w:r>
      <w:r>
        <w:rPr>
          <w:rFonts w:ascii="Times New Roman" w:eastAsia="方正仿宋_GBK" w:hAnsi="Times New Roman" w:hint="eastAsia"/>
          <w:sz w:val="32"/>
          <w:szCs w:val="32"/>
        </w:rPr>
        <w:t>万元，下降</w:t>
      </w:r>
      <w:r>
        <w:rPr>
          <w:rFonts w:ascii="Times New Roman" w:eastAsia="方正仿宋_GBK" w:hAnsi="Times New Roman"/>
          <w:sz w:val="32"/>
          <w:szCs w:val="32"/>
        </w:rPr>
        <w:t>1.22%</w:t>
      </w:r>
      <w:r>
        <w:rPr>
          <w:rFonts w:ascii="Times New Roman" w:eastAsia="方正仿宋_GBK" w:hAnsi="Times New Roman" w:hint="eastAsia"/>
          <w:sz w:val="32"/>
          <w:szCs w:val="32"/>
        </w:rPr>
        <w:t>。主要是落实过紧日子要求，压减相关经费。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（2）一般行政管理事务（项）202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 xml:space="preserve">3.95 </w:t>
      </w:r>
      <w:r>
        <w:rPr>
          <w:rFonts w:ascii="Times New Roman" w:eastAsia="方正仿宋_GBK" w:hAnsi="Times New Roman" w:hint="eastAsia"/>
          <w:sz w:val="32"/>
          <w:szCs w:val="32"/>
        </w:rPr>
        <w:t>万元，下降</w:t>
      </w:r>
      <w:r>
        <w:rPr>
          <w:rFonts w:ascii="Times New Roman" w:eastAsia="方正仿宋_GBK" w:hAnsi="Times New Roman"/>
          <w:sz w:val="32"/>
          <w:szCs w:val="32"/>
        </w:rPr>
        <w:t>100</w:t>
      </w:r>
      <w:r>
        <w:rPr>
          <w:rFonts w:ascii="Times New Roman" w:eastAsia="方正仿宋_GBK" w:hAnsi="Times New Roman" w:hint="eastAsia"/>
          <w:sz w:val="32"/>
          <w:szCs w:val="32"/>
        </w:rPr>
        <w:t>%。主要是202</w:t>
      </w:r>
      <w:r>
        <w:rPr>
          <w:rFonts w:ascii="Times New Roman" w:eastAsia="方正仿宋_GBK" w:hAnsi="Times New Roman"/>
          <w:sz w:val="32"/>
          <w:szCs w:val="32"/>
        </w:rPr>
        <w:t>4</w:t>
      </w:r>
      <w:r>
        <w:rPr>
          <w:rFonts w:ascii="Times New Roman" w:eastAsia="方正仿宋_GBK" w:hAnsi="Times New Roman" w:hint="eastAsia"/>
          <w:sz w:val="32"/>
          <w:szCs w:val="32"/>
        </w:rPr>
        <w:t>年中央基建投资</w:t>
      </w:r>
      <w:r>
        <w:rPr>
          <w:rFonts w:ascii="Times New Roman" w:eastAsia="方正仿宋_GBK" w:hAnsi="Times New Roman"/>
          <w:sz w:val="32"/>
          <w:szCs w:val="32"/>
        </w:rPr>
        <w:t>尚未下达预算</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）缉私办案（项）202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1.27</w:t>
      </w:r>
      <w:r>
        <w:rPr>
          <w:rFonts w:ascii="Times New Roman" w:eastAsia="方正仿宋_GBK" w:hAnsi="Times New Roman" w:hint="eastAsia"/>
          <w:sz w:val="32"/>
          <w:szCs w:val="32"/>
        </w:rPr>
        <w:t>万元，下降</w:t>
      </w:r>
      <w:r>
        <w:rPr>
          <w:rFonts w:ascii="Times New Roman" w:eastAsia="方正仿宋_GBK" w:hAnsi="Times New Roman"/>
          <w:sz w:val="32"/>
          <w:szCs w:val="32"/>
        </w:rPr>
        <w:t>24.1</w:t>
      </w:r>
      <w:r>
        <w:rPr>
          <w:rFonts w:ascii="Times New Roman" w:eastAsia="方正仿宋_GBK" w:hAnsi="Times New Roman" w:hint="eastAsia"/>
          <w:sz w:val="32"/>
          <w:szCs w:val="32"/>
        </w:rPr>
        <w:t>%。主要为缉私办案支出减少。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4</w:t>
      </w:r>
      <w:r>
        <w:rPr>
          <w:rFonts w:ascii="Times New Roman" w:eastAsia="方正仿宋_GBK" w:hAnsi="Times New Roman" w:hint="eastAsia"/>
          <w:sz w:val="32"/>
          <w:szCs w:val="32"/>
        </w:rPr>
        <w:t>）海关关务（项）202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30.18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 xml:space="preserve">减少7.02 </w:t>
      </w:r>
      <w:r>
        <w:rPr>
          <w:rFonts w:ascii="Times New Roman" w:eastAsia="方正仿宋_GBK" w:hAnsi="Times New Roman" w:hint="eastAsia"/>
          <w:sz w:val="32"/>
          <w:szCs w:val="32"/>
        </w:rPr>
        <w:t>万元，</w:t>
      </w:r>
      <w:r>
        <w:rPr>
          <w:rFonts w:ascii="Times New Roman" w:eastAsia="方正仿宋_GBK" w:hAnsi="Times New Roman"/>
          <w:sz w:val="32"/>
          <w:szCs w:val="32"/>
        </w:rPr>
        <w:t>下降18.87</w:t>
      </w:r>
      <w:r>
        <w:rPr>
          <w:rFonts w:ascii="Times New Roman" w:eastAsia="方正仿宋_GBK" w:hAnsi="Times New Roman" w:hint="eastAsia"/>
          <w:sz w:val="32"/>
          <w:szCs w:val="32"/>
        </w:rPr>
        <w:t>%。主要是</w:t>
      </w:r>
      <w:r>
        <w:rPr>
          <w:rFonts w:ascii="Times New Roman" w:eastAsia="方正仿宋_GBK" w:hAnsi="Times New Roman"/>
          <w:sz w:val="32"/>
          <w:szCs w:val="32"/>
        </w:rPr>
        <w:t>海关关务支出减少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eastAsia="方正仿宋_GBK" w:hAnsi="Times New Roman"/>
          <w:sz w:val="32"/>
          <w:szCs w:val="32"/>
        </w:rPr>
        <w:t>5</w:t>
      </w:r>
      <w:r>
        <w:rPr>
          <w:rFonts w:ascii="Times New Roman" w:eastAsia="方正仿宋_GBK" w:hAnsi="Times New Roman" w:hint="eastAsia"/>
          <w:sz w:val="32"/>
          <w:szCs w:val="32"/>
        </w:rPr>
        <w:t>）海关监管（项）202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w:t>
      </w:r>
      <w:r>
        <w:rPr>
          <w:rFonts w:ascii="Times New Roman" w:eastAsia="方正仿宋_GBK" w:hAnsi="Times New Roman" w:hint="eastAsia"/>
          <w:sz w:val="32"/>
          <w:szCs w:val="32"/>
        </w:rPr>
        <w:t>万元，</w:t>
      </w:r>
      <w:r>
        <w:rPr>
          <w:rFonts w:ascii="Times New Roman" w:eastAsia="方正仿宋_GBK" w:hAnsi="Times New Roman"/>
          <w:sz w:val="32"/>
          <w:szCs w:val="32"/>
        </w:rPr>
        <w:t>与</w:t>
      </w:r>
      <w:r>
        <w:rPr>
          <w:rFonts w:ascii="Times New Roman" w:eastAsia="方正仿宋_GBK" w:hAnsi="Times New Roman" w:hint="eastAsia"/>
          <w:sz w:val="32"/>
          <w:szCs w:val="32"/>
        </w:rPr>
        <w:t>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持平</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6</w:t>
      </w:r>
      <w:r>
        <w:rPr>
          <w:rFonts w:ascii="Times New Roman" w:eastAsia="方正仿宋_GBK" w:hAnsi="Times New Roman" w:hint="eastAsia"/>
          <w:sz w:val="32"/>
          <w:szCs w:val="32"/>
        </w:rPr>
        <w:t>）检验检疫（项）202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8.5</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76.56</w:t>
      </w:r>
      <w:r>
        <w:rPr>
          <w:rFonts w:ascii="Times New Roman" w:eastAsia="方正仿宋_GBK" w:hAnsi="Times New Roman" w:hint="eastAsia"/>
          <w:sz w:val="32"/>
          <w:szCs w:val="32"/>
        </w:rPr>
        <w:t>万元，下降</w:t>
      </w:r>
      <w:r>
        <w:rPr>
          <w:rFonts w:ascii="Times New Roman" w:eastAsia="方正仿宋_GBK" w:hAnsi="Times New Roman"/>
          <w:sz w:val="32"/>
          <w:szCs w:val="32"/>
        </w:rPr>
        <w:t>90.01%</w:t>
      </w:r>
      <w:r>
        <w:rPr>
          <w:rFonts w:ascii="Times New Roman" w:eastAsia="方正仿宋_GBK" w:hAnsi="Times New Roman" w:hint="eastAsia"/>
          <w:sz w:val="32"/>
          <w:szCs w:val="32"/>
        </w:rPr>
        <w:t>。主要是检验检疫支出减少。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．社会保障和就业支出（类）行政事业单位养老支出（款）202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88.09</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 xml:space="preserve">8.14 </w:t>
      </w:r>
      <w:r>
        <w:rPr>
          <w:rFonts w:ascii="Times New Roman" w:eastAsia="方正仿宋_GBK" w:hAnsi="Times New Roman" w:hint="eastAsia"/>
          <w:sz w:val="32"/>
          <w:szCs w:val="32"/>
        </w:rPr>
        <w:t>万元，增长</w:t>
      </w:r>
      <w:r>
        <w:rPr>
          <w:rFonts w:ascii="Times New Roman" w:eastAsia="方正仿宋_GBK" w:hAnsi="Times New Roman"/>
          <w:sz w:val="32"/>
          <w:szCs w:val="32"/>
        </w:rPr>
        <w:t>10.18%</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9.28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减少0.32</w:t>
      </w:r>
      <w:r>
        <w:rPr>
          <w:rFonts w:ascii="Times New Roman" w:eastAsia="方正仿宋_GBK" w:hAnsi="Times New Roman" w:hint="eastAsia"/>
          <w:sz w:val="32"/>
          <w:szCs w:val="32"/>
        </w:rPr>
        <w:t>万元，</w:t>
      </w:r>
      <w:r>
        <w:rPr>
          <w:rFonts w:ascii="Times New Roman" w:eastAsia="方正仿宋_GBK" w:hAnsi="Times New Roman"/>
          <w:sz w:val="32"/>
          <w:szCs w:val="32"/>
        </w:rPr>
        <w:t>下降3.33</w:t>
      </w:r>
      <w:r>
        <w:rPr>
          <w:rFonts w:ascii="Times New Roman" w:eastAsia="方正仿宋_GBK" w:hAnsi="Times New Roman" w:hint="eastAsia"/>
          <w:sz w:val="32"/>
          <w:szCs w:val="32"/>
        </w:rPr>
        <w:t>%。主要是行政单位离退休经费</w:t>
      </w:r>
      <w:r>
        <w:rPr>
          <w:rFonts w:ascii="Times New Roman" w:eastAsia="方正仿宋_GBK" w:hAnsi="Times New Roman"/>
          <w:sz w:val="32"/>
          <w:szCs w:val="32"/>
        </w:rPr>
        <w:t>减少</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（2）机关事业单位基本养老保险缴费支出（项）202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52.54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5.64</w:t>
      </w:r>
      <w:r>
        <w:rPr>
          <w:rFonts w:ascii="Times New Roman" w:eastAsia="方正仿宋_GBK" w:hAnsi="Times New Roman" w:hint="eastAsia"/>
          <w:sz w:val="32"/>
          <w:szCs w:val="32"/>
        </w:rPr>
        <w:t>万元，增长</w:t>
      </w:r>
      <w:r>
        <w:rPr>
          <w:rFonts w:ascii="Times New Roman" w:eastAsia="方正仿宋_GBK" w:hAnsi="Times New Roman"/>
          <w:sz w:val="32"/>
          <w:szCs w:val="32"/>
        </w:rPr>
        <w:t>12.03</w:t>
      </w:r>
      <w:r>
        <w:rPr>
          <w:rFonts w:ascii="Times New Roman" w:eastAsia="方正仿宋_GBK" w:hAnsi="Times New Roman" w:hint="eastAsia"/>
          <w:sz w:val="32"/>
          <w:szCs w:val="32"/>
        </w:rPr>
        <w:t>%。主要是基本养老保险单位缴费经费增加。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（3）机关事业单位职业年金缴费支出（项）202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26.27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 xml:space="preserve">2.82 </w:t>
      </w:r>
      <w:r>
        <w:rPr>
          <w:rFonts w:ascii="Times New Roman" w:eastAsia="方正仿宋_GBK" w:hAnsi="Times New Roman" w:hint="eastAsia"/>
          <w:sz w:val="32"/>
          <w:szCs w:val="32"/>
        </w:rPr>
        <w:t>万元，增长</w:t>
      </w:r>
      <w:r>
        <w:rPr>
          <w:rFonts w:ascii="Times New Roman" w:eastAsia="方正仿宋_GBK" w:hAnsi="Times New Roman"/>
          <w:sz w:val="32"/>
          <w:szCs w:val="32"/>
        </w:rPr>
        <w:t>12.03</w:t>
      </w:r>
      <w:r>
        <w:rPr>
          <w:rFonts w:ascii="Times New Roman" w:eastAsia="方正仿宋_GBK" w:hAnsi="Times New Roman" w:hint="eastAsia"/>
          <w:sz w:val="32"/>
          <w:szCs w:val="32"/>
        </w:rPr>
        <w:t>%。主要是职业年金单位缴费经费增加。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．卫生健康支出（类）行政事业单位医疗（款）202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31.74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增加1.27</w:t>
      </w:r>
      <w:r>
        <w:rPr>
          <w:rFonts w:ascii="Times New Roman" w:eastAsia="方正仿宋_GBK" w:hAnsi="Times New Roman" w:hint="eastAsia"/>
          <w:sz w:val="32"/>
          <w:szCs w:val="32"/>
        </w:rPr>
        <w:t>万元，</w:t>
      </w:r>
      <w:r>
        <w:rPr>
          <w:rFonts w:ascii="Times New Roman" w:eastAsia="方正仿宋_GBK" w:hAnsi="Times New Roman"/>
          <w:sz w:val="32"/>
          <w:szCs w:val="32"/>
        </w:rPr>
        <w:t>上升4.17%</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25.16</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5.31</w:t>
      </w:r>
      <w:r>
        <w:rPr>
          <w:rFonts w:ascii="Times New Roman" w:eastAsia="方正仿宋_GBK" w:hAnsi="Times New Roman" w:hint="eastAsia"/>
          <w:sz w:val="32"/>
          <w:szCs w:val="32"/>
        </w:rPr>
        <w:t>万元，下降</w:t>
      </w:r>
      <w:r>
        <w:rPr>
          <w:rFonts w:ascii="Times New Roman" w:eastAsia="方正仿宋_GBK" w:hAnsi="Times New Roman"/>
          <w:sz w:val="32"/>
          <w:szCs w:val="32"/>
        </w:rPr>
        <w:t>17.43%</w:t>
      </w:r>
      <w:r>
        <w:rPr>
          <w:rFonts w:ascii="Times New Roman" w:eastAsia="方正仿宋_GBK" w:hAnsi="Times New Roman" w:hint="eastAsia"/>
          <w:sz w:val="32"/>
          <w:szCs w:val="32"/>
        </w:rPr>
        <w:t>。主要是行政单位医疗经费减少。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6.58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6.58</w:t>
      </w:r>
      <w:r>
        <w:rPr>
          <w:rFonts w:ascii="Times New Roman" w:eastAsia="方正仿宋_GBK" w:hAnsi="Times New Roman" w:hint="eastAsia"/>
          <w:sz w:val="32"/>
          <w:szCs w:val="32"/>
        </w:rPr>
        <w:t>万元</w:t>
      </w:r>
      <w:r>
        <w:rPr>
          <w:rFonts w:ascii="Times New Roman" w:eastAsia="方正仿宋_GBK" w:hAnsi="Times New Roman"/>
          <w:sz w:val="32"/>
          <w:szCs w:val="32"/>
        </w:rPr>
        <w:t>，增长100%</w:t>
      </w:r>
      <w:r>
        <w:rPr>
          <w:rFonts w:ascii="Times New Roman" w:eastAsia="方正仿宋_GBK" w:hAnsi="Times New Roman" w:hint="eastAsia"/>
          <w:sz w:val="32"/>
          <w:szCs w:val="32"/>
        </w:rPr>
        <w:t>。主要是公务员医疗补助经费增加。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．住房保障支出（类）住房改革支出（款）202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89.54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减少1.16</w:t>
      </w:r>
      <w:r>
        <w:rPr>
          <w:rFonts w:ascii="Times New Roman" w:eastAsia="方正仿宋_GBK" w:hAnsi="Times New Roman" w:hint="eastAsia"/>
          <w:sz w:val="32"/>
          <w:szCs w:val="32"/>
        </w:rPr>
        <w:t>万元，</w:t>
      </w:r>
      <w:r>
        <w:rPr>
          <w:rFonts w:ascii="Times New Roman" w:eastAsia="方正仿宋_GBK" w:hAnsi="Times New Roman"/>
          <w:sz w:val="32"/>
          <w:szCs w:val="32"/>
        </w:rPr>
        <w:t>减少1.28%</w:t>
      </w:r>
      <w:r>
        <w:rPr>
          <w:rFonts w:ascii="Times New Roman" w:eastAsia="方正仿宋_GBK" w:hAnsi="Times New Roman" w:hint="eastAsia"/>
          <w:sz w:val="32"/>
          <w:szCs w:val="32"/>
        </w:rPr>
        <w:t>。其中：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57.7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减少4.58</w:t>
      </w:r>
      <w:r>
        <w:rPr>
          <w:rFonts w:ascii="Times New Roman" w:eastAsia="方正仿宋_GBK" w:hAnsi="Times New Roman" w:hint="eastAsia"/>
          <w:sz w:val="32"/>
          <w:szCs w:val="32"/>
        </w:rPr>
        <w:t>万元，</w:t>
      </w:r>
      <w:r>
        <w:rPr>
          <w:rFonts w:ascii="Times New Roman" w:eastAsia="方正仿宋_GBK" w:hAnsi="Times New Roman"/>
          <w:sz w:val="32"/>
          <w:szCs w:val="32"/>
        </w:rPr>
        <w:t>减少7.35</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31.84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3.42</w:t>
      </w:r>
      <w:r>
        <w:rPr>
          <w:rFonts w:ascii="Times New Roman" w:eastAsia="方正仿宋_GBK" w:hAnsi="Times New Roman" w:hint="eastAsia"/>
          <w:sz w:val="32"/>
          <w:szCs w:val="32"/>
        </w:rPr>
        <w:t>万元，增长</w:t>
      </w:r>
      <w:r>
        <w:rPr>
          <w:rFonts w:ascii="Times New Roman" w:eastAsia="方正仿宋_GBK" w:hAnsi="Times New Roman"/>
          <w:sz w:val="32"/>
          <w:szCs w:val="32"/>
        </w:rPr>
        <w:t>12.03%</w:t>
      </w:r>
      <w:r>
        <w:rPr>
          <w:rFonts w:ascii="Times New Roman" w:eastAsia="方正仿宋_GBK" w:hAnsi="Times New Roman" w:hint="eastAsia"/>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聊城</w:t>
      </w:r>
      <w:r>
        <w:rPr>
          <w:rFonts w:eastAsia="方正黑体_GBK" w:hint="eastAsia"/>
          <w:sz w:val="32"/>
          <w:szCs w:val="32"/>
        </w:rPr>
        <w:t>海关202</w:t>
      </w:r>
      <w:r>
        <w:rPr>
          <w:rFonts w:eastAsia="方正黑体_GBK"/>
          <w:sz w:val="32"/>
          <w:szCs w:val="32"/>
        </w:rPr>
        <w:t>4</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聊城</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826.78</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609.35</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万元，主要包括：基本工资、津贴补贴、奖金、机关事业单位基本养老保险缴费、职业年金缴费、职工基本医疗保险缴费、公务员医疗补助缴费、住房公积金、退休费、其他对个人和家庭的补助；</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sz w:val="32"/>
          <w:szCs w:val="32"/>
        </w:rPr>
        <w:t>173.75</w:t>
      </w:r>
      <w:r>
        <w:rPr>
          <w:rFonts w:ascii="Times New Roman" w:eastAsia="方正仿宋_GBK" w:hAnsi="Times New Roman" w:hint="eastAsia"/>
          <w:sz w:val="32"/>
          <w:szCs w:val="32"/>
        </w:rPr>
        <w:t>万元，主要包括：办公费、印刷费、手续费、水费、电费、邮电费、取暖费、物业管理费、差旅费、维修（护）费、公务接待费、劳务费、委托业务费、工会经费、福利费、其他交通费用、其他商品和服务支出、办公设备购置。</w:t>
      </w:r>
    </w:p>
    <w:p>
      <w:pPr>
        <w:pStyle w:val="18"/>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聊城</w:t>
      </w:r>
      <w:r>
        <w:rPr>
          <w:rFonts w:eastAsia="方正黑体_GBK" w:hint="eastAsia"/>
          <w:sz w:val="32"/>
          <w:szCs w:val="32"/>
        </w:rPr>
        <w:t>海关202</w:t>
      </w:r>
      <w:r>
        <w:rPr>
          <w:rFonts w:eastAsia="方正黑体_GBK"/>
          <w:sz w:val="32"/>
          <w:szCs w:val="32"/>
        </w:rPr>
        <w:t>4</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sz w:val="32"/>
          <w:szCs w:val="32"/>
        </w:rPr>
        <w:t>聊城</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8.3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压减4.34</w:t>
      </w:r>
      <w:r>
        <w:rPr>
          <w:rFonts w:ascii="Times New Roman" w:eastAsia="方正仿宋_GBK" w:hAnsi="Times New Roman" w:hint="eastAsia"/>
          <w:sz w:val="32"/>
          <w:szCs w:val="32"/>
        </w:rPr>
        <w:t>万元。其中：因公出国（境）费0万元，与202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年预算数持平；公务用车购置费</w:t>
      </w:r>
      <w:r>
        <w:rPr>
          <w:rFonts w:ascii="Times New Roman" w:eastAsia="方正仿宋_GBK" w:hAnsi="Times New Roman"/>
          <w:sz w:val="32"/>
          <w:szCs w:val="32"/>
        </w:rPr>
        <w:t>0</w:t>
      </w:r>
      <w:r>
        <w:rPr>
          <w:rFonts w:ascii="Times New Roman" w:eastAsia="方正仿宋_GBK" w:hAnsi="Times New Roman" w:hint="eastAsia"/>
          <w:sz w:val="32"/>
          <w:szCs w:val="32"/>
        </w:rPr>
        <w:t>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年预算数持平；公务用车运行费</w:t>
      </w:r>
      <w:r>
        <w:rPr>
          <w:rFonts w:ascii="Times New Roman" w:eastAsia="方正仿宋_GBK" w:hAnsi="Times New Roman"/>
          <w:sz w:val="32"/>
          <w:szCs w:val="32"/>
        </w:rPr>
        <w:t>7.56</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压减4.34万元</w:t>
      </w:r>
      <w:r>
        <w:rPr>
          <w:rFonts w:ascii="Times New Roman" w:eastAsia="方正仿宋_GBK" w:hAnsi="Times New Roman" w:hint="eastAsia"/>
          <w:sz w:val="32"/>
          <w:szCs w:val="32"/>
        </w:rPr>
        <w:t>；公务接待费</w:t>
      </w:r>
      <w:r>
        <w:rPr>
          <w:rFonts w:ascii="Times New Roman" w:eastAsia="方正仿宋_GBK" w:hAnsi="Times New Roman"/>
          <w:sz w:val="32"/>
          <w:szCs w:val="32"/>
        </w:rPr>
        <w:t>0.74</w:t>
      </w:r>
      <w:r>
        <w:rPr>
          <w:rFonts w:ascii="Times New Roman" w:eastAsia="方正仿宋_GBK" w:hAnsi="Times New Roman" w:hint="eastAsia"/>
          <w:sz w:val="32"/>
          <w:szCs w:val="32"/>
        </w:rPr>
        <w:t>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w:t>
      </w:r>
    </w:p>
    <w:p>
      <w:pPr>
        <w:pStyle w:val="18"/>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聊城</w:t>
      </w:r>
      <w:r>
        <w:rPr>
          <w:rFonts w:eastAsia="方正黑体_GBK" w:hint="eastAsia"/>
          <w:sz w:val="32"/>
          <w:szCs w:val="32"/>
        </w:rPr>
        <w:t>海关202</w:t>
      </w:r>
      <w:r>
        <w:rPr>
          <w:rFonts w:eastAsia="方正黑体_GBK"/>
          <w:sz w:val="32"/>
          <w:szCs w:val="32"/>
        </w:rPr>
        <w:t>4</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sz w:val="32"/>
          <w:szCs w:val="32"/>
        </w:rPr>
        <w:t>聊城</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聊城</w:t>
      </w:r>
      <w:r>
        <w:rPr>
          <w:rFonts w:eastAsia="方正黑体_GBK" w:hint="eastAsia"/>
          <w:sz w:val="32"/>
          <w:szCs w:val="32"/>
        </w:rPr>
        <w:t>海关202</w:t>
      </w:r>
      <w:r>
        <w:rPr>
          <w:rFonts w:eastAsia="方正黑体_GBK"/>
          <w:sz w:val="32"/>
          <w:szCs w:val="32"/>
        </w:rPr>
        <w:t>4</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聊城</w:t>
      </w:r>
      <w:r>
        <w:rPr>
          <w:rFonts w:ascii="Times New Roman" w:eastAsia="方正仿宋_GBK" w:hAnsi="Times New Roman" w:hint="eastAsia"/>
          <w:sz w:val="32"/>
          <w:szCs w:val="32"/>
        </w:rPr>
        <w:t>海关202</w:t>
      </w:r>
      <w:r>
        <w:rPr>
          <w:rFonts w:ascii="Times New Roman" w:eastAsia="方正仿宋_GBK" w:hAnsi="Times New Roman"/>
          <w:sz w:val="32"/>
          <w:szCs w:val="32"/>
        </w:rPr>
        <w:t>4</w:t>
      </w:r>
      <w:r>
        <w:rPr>
          <w:rFonts w:ascii="Times New Roman" w:eastAsia="方正仿宋_GBK" w:hAnsi="Times New Roman" w:hint="eastAsia"/>
          <w:sz w:val="32"/>
          <w:szCs w:val="32"/>
        </w:rPr>
        <w:t>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聊城海关</w:t>
      </w:r>
      <w:r>
        <w:rPr>
          <w:rFonts w:ascii="Times New Roman" w:eastAsia="方正仿宋_GBK" w:hAnsi="Times New Roman" w:hint="eastAsia"/>
          <w:sz w:val="32"/>
          <w:szCs w:val="32"/>
        </w:rPr>
        <w:t>的机关运行经费财政拨款预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173.75</w:t>
      </w:r>
      <w:r>
        <w:rPr>
          <w:rFonts w:ascii="Times New Roman" w:eastAsia="方正仿宋_GBK" w:hAnsi="Times New Roman" w:hint="eastAsia"/>
          <w:sz w:val="32"/>
          <w:szCs w:val="32"/>
        </w:rPr>
        <w:t>万元，较202</w:t>
      </w:r>
      <w:r>
        <w:rPr>
          <w:rFonts w:ascii="Times New Roman" w:eastAsia="方正仿宋_GBK" w:hAnsi="Times New Roman"/>
          <w:sz w:val="32"/>
          <w:szCs w:val="32"/>
        </w:rPr>
        <w:t>3</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增加7.54</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增长4.54</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hAnsi="Times New Roman"/>
          <w:sz w:val="32"/>
          <w:szCs w:val="32"/>
        </w:rPr>
        <w:t>调研差旅等支出增加</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聊城</w:t>
      </w:r>
      <w:r>
        <w:rPr>
          <w:rFonts w:ascii="Times New Roman" w:eastAsia="方正仿宋_GBK" w:hAnsi="Times New Roman" w:hint="eastAsia"/>
          <w:sz w:val="32"/>
          <w:szCs w:val="32"/>
        </w:rPr>
        <w:t>海关政府采购预算总额</w:t>
      </w:r>
      <w:r>
        <w:rPr>
          <w:rFonts w:ascii="Times New Roman" w:eastAsia="方正仿宋_GBK" w:hAnsi="Times New Roman"/>
          <w:sz w:val="32"/>
          <w:szCs w:val="32"/>
        </w:rPr>
        <w:t>7.2</w:t>
      </w:r>
      <w:r>
        <w:rPr>
          <w:rFonts w:ascii="Times New Roman" w:eastAsia="方正仿宋_GBK" w:hAnsi="Times New Roman" w:hint="eastAsia"/>
          <w:sz w:val="32"/>
          <w:szCs w:val="32"/>
        </w:rPr>
        <w:t>万元，其中：政府采购货物预算</w:t>
      </w:r>
      <w:r>
        <w:rPr>
          <w:rFonts w:ascii="Times New Roman" w:eastAsia="方正仿宋_GBK" w:hAnsi="Times New Roman"/>
          <w:sz w:val="32"/>
          <w:szCs w:val="32"/>
        </w:rPr>
        <w:t>7.2</w:t>
      </w:r>
      <w:r>
        <w:rPr>
          <w:rFonts w:ascii="Times New Roman" w:eastAsia="方正仿宋_GBK" w:hAnsi="Times New Roman" w:hint="eastAsia"/>
          <w:sz w:val="32"/>
          <w:szCs w:val="32"/>
        </w:rPr>
        <w:t>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pStyle w:val="164"/>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3</w:t>
      </w:r>
      <w:r>
        <w:rPr>
          <w:rFonts w:ascii="Times New Roman" w:eastAsia="方正仿宋_GBK" w:hAnsi="Times New Roman" w:hint="eastAsia"/>
          <w:color w:val="000000"/>
          <w:sz w:val="32"/>
          <w:szCs w:val="32"/>
        </w:rPr>
        <w:t>年8月31日，聊城海关共有车辆5辆，其中，机要通信用车2辆、执法执勤用车3辆。单位价值100万元以上的设备3台（套）。</w:t>
      </w:r>
    </w:p>
    <w:p>
      <w:pPr>
        <w:pStyle w:val="164"/>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年部门预算安排购置车辆0辆；购置单位价值100万元以上的设备0台（套）。</w:t>
      </w:r>
    </w:p>
    <w:p>
      <w:pPr>
        <w:pStyle w:val="165"/>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pStyle w:val="166"/>
        <w:spacing w:line="560" w:lineRule="exact"/>
        <w:ind w:firstLineChars="200" w:firstLine="640"/>
      </w:pPr>
      <w:r>
        <w:rPr>
          <w:rFonts w:hint="eastAsia"/>
        </w:rPr>
        <w:t>202</w:t>
      </w:r>
      <w:r>
        <w:t>4</w:t>
      </w:r>
      <w:r>
        <w:rPr>
          <w:rFonts w:hint="eastAsia"/>
        </w:rPr>
        <w:t>年对聊城海关一般公共预算拨款项目全面实施绩效目标管理，涉及一般公共预算当年拨款</w:t>
      </w:r>
      <w:r>
        <w:t>826.78</w:t>
      </w:r>
      <w:r>
        <w:rPr>
          <w:rFonts w:hint="eastAsia"/>
        </w:rPr>
        <w:t>万元，一级项目11个，二级项目1</w:t>
      </w:r>
      <w:r>
        <w:t>7</w:t>
      </w:r>
      <w:r>
        <w:rPr>
          <w:rFonts w:hint="eastAsia"/>
        </w:rPr>
        <w:t>个。根据以前年度绩效评价结果，优化海关缉私办案费、国门生物安全等项目支出202</w:t>
      </w:r>
      <w:r>
        <w:t>4</w:t>
      </w:r>
      <w:r>
        <w:rPr>
          <w:rFonts w:hint="eastAsia"/>
        </w:rPr>
        <w:t>年预算安排，并进一步改进管理、完善政策。</w:t>
      </w:r>
    </w:p>
    <w:p>
      <w:pPr>
        <w:pStyle w:val="166"/>
        <w:keepNext w:val="0"/>
        <w:widowControl w:val="0"/>
        <w:spacing w:line="560" w:lineRule="exact"/>
        <w:ind w:firstLineChars="200" w:firstLine="640"/>
      </w:pPr>
      <w:r>
        <w:br w:type="page"/>
      </w:r>
    </w:p>
    <w:p>
      <w:pPr>
        <w:pStyle w:val="166"/>
        <w:spacing w:line="560" w:lineRule="exact"/>
        <w:ind w:firstLineChars="200" w:firstLine="640"/>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sectPr>
          <w:pgSz w:w="11906" w:h="16838"/>
          <w:pgMar w:top="1440" w:right="1800" w:bottom="1440" w:left="1800" w:header="851" w:footer="992" w:gutter="0"/>
          <w:pgNumType/>
          <w:titlePg/>
          <w:docGrid w:type="lines" w:linePitch="312" w:charSpace="0"/>
        </w:sect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Times New Roman" w:eastAsia="方正仿宋_GBK" w:hAnsi="Times New Roman"/>
          <w:sz w:val="32"/>
          <w:szCs w:val="32"/>
        </w:rPr>
        <w:t>。</w:t>
      </w:r>
    </w:p>
    <w:p>
      <w:pPr>
        <w:pStyle w:val="167"/>
        <w:jc w:val="center"/>
        <w:rPr>
          <w:rFonts w:ascii="Times New Roman" w:hAnsi="Times New Roman"/>
          <w:b/>
          <w:sz w:val="84"/>
          <w:szCs w:val="84"/>
        </w:rPr>
      </w:pPr>
    </w:p>
    <w:p>
      <w:pPr>
        <w:pStyle w:val="167"/>
        <w:jc w:val="center"/>
        <w:rPr>
          <w:rFonts w:ascii="Times New Roman" w:hAnsi="Times New Roman"/>
          <w:b/>
          <w:sz w:val="84"/>
          <w:szCs w:val="84"/>
        </w:rPr>
      </w:pPr>
    </w:p>
    <w:p>
      <w:pPr>
        <w:pStyle w:val="167"/>
        <w:jc w:val="center"/>
        <w:rPr>
          <w:rFonts w:ascii="Times New Roman" w:hAnsi="Times New Roman"/>
          <w:b/>
          <w:sz w:val="84"/>
          <w:szCs w:val="84"/>
        </w:rPr>
      </w:pPr>
      <w:r>
        <w:rPr>
          <w:rFonts w:ascii="Times New Roman" w:hAnsi="Times New Roman" w:hint="eastAsia"/>
          <w:b/>
          <w:sz w:val="84"/>
          <w:szCs w:val="84"/>
        </w:rPr>
        <w:t>第五部分</w:t>
      </w:r>
    </w:p>
    <w:p>
      <w:pPr>
        <w:pStyle w:val="167"/>
        <w:jc w:val="center"/>
        <w:rPr>
          <w:rFonts w:ascii="Times New Roman" w:hAnsi="Times New Roman"/>
          <w:b/>
          <w:sz w:val="84"/>
          <w:szCs w:val="84"/>
        </w:rPr>
      </w:pPr>
      <w:r>
        <w:rPr>
          <w:rFonts w:ascii="Times New Roman" w:hAnsi="Times New Roman" w:hint="eastAsia"/>
          <w:b/>
          <w:sz w:val="84"/>
          <w:szCs w:val="84"/>
        </w:rPr>
        <w:t>附件</w:t>
      </w: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93" w:type="dxa"/>
        <w:tblW w:w="1384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00"/>
        <w:gridCol w:w="2340"/>
        <w:gridCol w:w="2420"/>
        <w:gridCol w:w="2046"/>
        <w:gridCol w:w="1228"/>
        <w:gridCol w:w="1106"/>
        <w:gridCol w:w="1020"/>
        <w:gridCol w:w="600"/>
        <w:gridCol w:w="1480"/>
      </w:tblGrid>
      <w:tr>
        <w:trPr>
          <w:trHeight w:val="510"/>
        </w:trPr>
        <w:tc>
          <w:tcPr>
            <w:tcW w:w="13840" w:type="dxa"/>
            <w:gridSpan w:val="9"/>
            <w:tcBorders>
              <w:top w:val="nil"/>
              <w:left w:val="nil"/>
              <w:bottom w:val="nil"/>
              <w:right w:val="nil"/>
            </w:tcBorders>
            <w:shd w:val="clear" w:color="auto" w:fill="auto"/>
            <w:noWrap/>
            <w:vAlign w:val="center"/>
          </w:tcPr>
          <w:p>
            <w:pPr>
              <w:pStyle w:val="167"/>
              <w:widowControl/>
              <w:jc w:val="center"/>
              <w:rPr>
                <w:rFonts w:ascii="宋体" w:cs="宋体"/>
                <w:b/>
                <w:bCs/>
                <w:kern w:val="0"/>
                <w:sz w:val="40"/>
                <w:szCs w:val="40"/>
              </w:rPr>
            </w:pPr>
          </w:p>
          <w:p>
            <w:pPr>
              <w:pStyle w:val="167"/>
              <w:widowControl/>
              <w:jc w:val="center"/>
              <w:rPr>
                <w:rFonts w:ascii="宋体" w:cs="宋体"/>
                <w:b/>
                <w:bCs/>
                <w:kern w:val="0"/>
                <w:sz w:val="40"/>
                <w:szCs w:val="40"/>
              </w:rPr>
            </w:pPr>
            <w:r>
              <w:rPr>
                <w:rFonts w:ascii="宋体" w:cs="宋体" w:hint="eastAsia"/>
                <w:b/>
                <w:bCs/>
                <w:kern w:val="0"/>
                <w:sz w:val="40"/>
                <w:szCs w:val="40"/>
              </w:rPr>
              <w:t>项目实施绩效目标</w:t>
            </w:r>
          </w:p>
        </w:tc>
      </w:tr>
      <w:tr>
        <w:trPr>
          <w:trHeight w:val="319"/>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项目编码：</w:t>
            </w:r>
          </w:p>
        </w:tc>
        <w:tc>
          <w:tcPr>
            <w:tcW w:w="2340" w:type="dxa"/>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kern w:val="0"/>
                <w:sz w:val="20"/>
                <w:szCs w:val="20"/>
              </w:rPr>
              <w:t>102167160430060009001</w:t>
            </w:r>
          </w:p>
        </w:tc>
        <w:tc>
          <w:tcPr>
            <w:tcW w:w="2420" w:type="dxa"/>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项目名称：</w:t>
            </w:r>
          </w:p>
        </w:tc>
        <w:tc>
          <w:tcPr>
            <w:tcW w:w="7480" w:type="dxa"/>
            <w:gridSpan w:val="6"/>
            <w:tcBorders>
              <w:top w:val="single" w:sz="4" w:space="0" w:color="auto"/>
              <w:left w:val="nil"/>
              <w:bottom w:val="single" w:sz="4" w:space="0" w:color="auto"/>
              <w:right w:val="single" w:sz="4" w:space="0" w:color="000000"/>
            </w:tcBorders>
            <w:shd w:val="clear" w:color="auto" w:fill="auto"/>
            <w:noWrap/>
            <w:vAlign w:val="center"/>
          </w:tcPr>
          <w:p>
            <w:pPr>
              <w:pStyle w:val="167"/>
              <w:widowControl/>
              <w:jc w:val="center"/>
              <w:rPr>
                <w:rFonts w:ascii="宋体" w:cs="宋体"/>
                <w:kern w:val="0"/>
                <w:sz w:val="20"/>
                <w:szCs w:val="20"/>
              </w:rPr>
            </w:pPr>
            <w:r>
              <w:rPr>
                <w:rFonts w:ascii="宋体" w:cs="宋体" w:hint="eastAsia"/>
                <w:kern w:val="0"/>
                <w:sz w:val="20"/>
                <w:szCs w:val="20"/>
              </w:rPr>
              <w:t>海关缉私办案费</w:t>
            </w:r>
          </w:p>
        </w:tc>
      </w:tr>
      <w:tr>
        <w:trPr>
          <w:trHeight w:val="1560"/>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项目绩效目标：</w:t>
            </w:r>
          </w:p>
        </w:tc>
        <w:tc>
          <w:tcPr>
            <w:tcW w:w="12240" w:type="dxa"/>
            <w:gridSpan w:val="8"/>
            <w:tcBorders>
              <w:top w:val="single" w:sz="4" w:space="0" w:color="auto"/>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1.保障聊城禁毒缉毒、打击走私等工作正常开展，把好国门安全关；</w:t>
            </w:r>
          </w:p>
          <w:p>
            <w:pPr>
              <w:pStyle w:val="167"/>
              <w:widowControl/>
              <w:jc w:val="left"/>
              <w:rPr>
                <w:rFonts w:ascii="宋体" w:cs="宋体"/>
                <w:kern w:val="0"/>
                <w:sz w:val="20"/>
                <w:szCs w:val="20"/>
              </w:rPr>
            </w:pPr>
            <w:r>
              <w:rPr>
                <w:rFonts w:ascii="宋体" w:cs="宋体" w:hint="eastAsia"/>
                <w:kern w:val="0"/>
                <w:sz w:val="20"/>
                <w:szCs w:val="20"/>
              </w:rPr>
              <w:t>2.深化综合治理，拓展合作渠道，进一步做好缉私大要案侦办工作，维持打击走私高压态势，有效震慑走私犯罪行为；</w:t>
            </w:r>
          </w:p>
          <w:p>
            <w:pPr>
              <w:pStyle w:val="167"/>
              <w:widowControl/>
              <w:jc w:val="left"/>
              <w:rPr>
                <w:rFonts w:ascii="宋体" w:cs="宋体"/>
                <w:kern w:val="0"/>
                <w:sz w:val="20"/>
                <w:szCs w:val="20"/>
              </w:rPr>
            </w:pPr>
            <w:r>
              <w:rPr>
                <w:rFonts w:ascii="宋体" w:cs="宋体" w:hint="eastAsia"/>
                <w:kern w:val="0"/>
                <w:sz w:val="20"/>
                <w:szCs w:val="20"/>
              </w:rPr>
              <w:t>3.为稽查业务改革提供经费保障。</w:t>
            </w:r>
          </w:p>
        </w:tc>
      </w:tr>
      <w:tr>
        <w:trPr>
          <w:trHeight w:val="319"/>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一级指标</w:t>
            </w:r>
          </w:p>
        </w:tc>
        <w:tc>
          <w:tcPr>
            <w:tcW w:w="234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二级指标</w:t>
            </w:r>
          </w:p>
        </w:tc>
        <w:tc>
          <w:tcPr>
            <w:tcW w:w="24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三级指标</w:t>
            </w:r>
          </w:p>
        </w:tc>
        <w:tc>
          <w:tcPr>
            <w:tcW w:w="2046"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指标类型</w:t>
            </w:r>
          </w:p>
        </w:tc>
        <w:tc>
          <w:tcPr>
            <w:tcW w:w="1228"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指标方向</w:t>
            </w:r>
          </w:p>
        </w:tc>
        <w:tc>
          <w:tcPr>
            <w:tcW w:w="1106"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目标值</w:t>
            </w:r>
          </w:p>
        </w:tc>
        <w:tc>
          <w:tcPr>
            <w:tcW w:w="10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计量单位</w:t>
            </w:r>
          </w:p>
        </w:tc>
        <w:tc>
          <w:tcPr>
            <w:tcW w:w="60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备注</w:t>
            </w:r>
          </w:p>
        </w:tc>
        <w:tc>
          <w:tcPr>
            <w:tcW w:w="1480" w:type="dxa"/>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b/>
                <w:bCs/>
                <w:kern w:val="0"/>
                <w:sz w:val="20"/>
                <w:szCs w:val="20"/>
              </w:rPr>
            </w:pPr>
            <w:r>
              <w:rPr>
                <w:rFonts w:ascii="宋体" w:cs="宋体" w:hint="eastAsia"/>
                <w:b/>
                <w:bCs/>
                <w:kern w:val="0"/>
                <w:sz w:val="20"/>
                <w:szCs w:val="20"/>
              </w:rPr>
              <w:t>分值（权重）</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34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数量指标</w:t>
            </w:r>
          </w:p>
        </w:tc>
        <w:tc>
          <w:tcPr>
            <w:tcW w:w="24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开展缉私稽查作业</w:t>
            </w:r>
          </w:p>
        </w:tc>
        <w:tc>
          <w:tcPr>
            <w:tcW w:w="204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28"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10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3</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次</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20</w:t>
            </w:r>
          </w:p>
        </w:tc>
      </w:tr>
      <w:tr>
        <w:trPr>
          <w:trHeight w:val="284"/>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8"/>
              <w:widowControl/>
              <w:jc w:val="left"/>
              <w:rPr>
                <w:rFonts w:ascii="宋体" w:cs="宋体"/>
                <w:kern w:val="0"/>
                <w:sz w:val="20"/>
                <w:szCs w:val="20"/>
              </w:rPr>
            </w:pPr>
            <w:r>
              <w:rPr>
                <w:rFonts w:ascii="宋体" w:cs="宋体" w:hint="eastAsia"/>
                <w:kern w:val="0"/>
                <w:sz w:val="20"/>
                <w:szCs w:val="20"/>
              </w:rPr>
              <w:t>产出指标</w:t>
            </w:r>
          </w:p>
        </w:tc>
        <w:tc>
          <w:tcPr>
            <w:tcW w:w="2340" w:type="dxa"/>
            <w:tcBorders>
              <w:top w:val="nil"/>
              <w:left w:val="nil"/>
              <w:bottom w:val="single" w:sz="4" w:space="0" w:color="auto"/>
              <w:right w:val="single" w:sz="4" w:space="0" w:color="auto"/>
            </w:tcBorders>
            <w:shd w:val="clear" w:color="auto" w:fill="auto"/>
            <w:vAlign w:val="center"/>
          </w:tcPr>
          <w:p>
            <w:pPr>
              <w:pStyle w:val="169"/>
              <w:widowControl/>
              <w:jc w:val="left"/>
              <w:rPr>
                <w:rFonts w:ascii="宋体" w:cs="宋体"/>
                <w:kern w:val="0"/>
                <w:sz w:val="20"/>
                <w:szCs w:val="20"/>
              </w:rPr>
            </w:pPr>
            <w:r>
              <w:rPr>
                <w:rFonts w:ascii="宋体" w:cs="宋体" w:hint="eastAsia"/>
                <w:kern w:val="0"/>
                <w:sz w:val="20"/>
                <w:szCs w:val="20"/>
              </w:rPr>
              <w:t>数量指标</w:t>
            </w:r>
          </w:p>
        </w:tc>
        <w:tc>
          <w:tcPr>
            <w:tcW w:w="24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保障缉私机构数</w:t>
            </w:r>
          </w:p>
        </w:tc>
        <w:tc>
          <w:tcPr>
            <w:tcW w:w="204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28"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w:t>
            </w:r>
          </w:p>
        </w:tc>
        <w:tc>
          <w:tcPr>
            <w:tcW w:w="110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1</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个</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10</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34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4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被行政诉讼次数</w:t>
            </w:r>
          </w:p>
        </w:tc>
        <w:tc>
          <w:tcPr>
            <w:tcW w:w="204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定量指标</w:t>
            </w:r>
          </w:p>
        </w:tc>
        <w:tc>
          <w:tcPr>
            <w:tcW w:w="1228" w:type="dxa"/>
            <w:tcBorders>
              <w:top w:val="nil"/>
              <w:left w:val="nil"/>
              <w:bottom w:val="single" w:sz="4" w:space="0" w:color="auto"/>
              <w:right w:val="single" w:sz="4" w:space="0" w:color="auto"/>
            </w:tcBorders>
            <w:shd w:val="clear" w:color="auto" w:fill="auto"/>
            <w:vAlign w:val="center"/>
          </w:tcPr>
          <w:p>
            <w:r>
              <w:rPr>
                <w:rFonts w:ascii="宋体" w:cs="宋体" w:hint="eastAsia"/>
                <w:kern w:val="0"/>
                <w:sz w:val="20"/>
                <w:szCs w:val="20"/>
              </w:rPr>
              <w:t>≤</w:t>
            </w:r>
          </w:p>
        </w:tc>
        <w:tc>
          <w:tcPr>
            <w:tcW w:w="110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1</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次</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10</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34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时效指标</w:t>
            </w:r>
          </w:p>
        </w:tc>
        <w:tc>
          <w:tcPr>
            <w:tcW w:w="24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年均案件平均办结时间</w:t>
            </w:r>
          </w:p>
        </w:tc>
        <w:tc>
          <w:tcPr>
            <w:tcW w:w="204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28"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10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月</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w:t>
            </w:r>
            <w:r>
              <w:rPr>
                <w:rFonts w:ascii="宋体" w:cs="宋体"/>
                <w:kern w:val="0"/>
                <w:sz w:val="20"/>
                <w:szCs w:val="20"/>
              </w:rPr>
              <w:t>0</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效益指标</w:t>
            </w:r>
          </w:p>
        </w:tc>
        <w:tc>
          <w:tcPr>
            <w:tcW w:w="234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社会效益指标</w:t>
            </w:r>
          </w:p>
        </w:tc>
        <w:tc>
          <w:tcPr>
            <w:tcW w:w="24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打击毒品、武器、普通货物、固体废物等走私效果</w:t>
            </w:r>
          </w:p>
        </w:tc>
        <w:tc>
          <w:tcPr>
            <w:tcW w:w="204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定性指标</w:t>
            </w:r>
          </w:p>
        </w:tc>
        <w:tc>
          <w:tcPr>
            <w:tcW w:w="1228"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106"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有效</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15</w:t>
            </w:r>
          </w:p>
        </w:tc>
      </w:tr>
    </w:tbl>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tbl>
      <w:tblPr>
        <w:jc w:val="left"/>
        <w:tblInd w:w="93" w:type="dxa"/>
        <w:tblW w:w="1489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00"/>
        <w:gridCol w:w="80"/>
        <w:gridCol w:w="2460"/>
        <w:gridCol w:w="200"/>
        <w:gridCol w:w="2720"/>
        <w:gridCol w:w="920"/>
        <w:gridCol w:w="320"/>
        <w:gridCol w:w="920"/>
        <w:gridCol w:w="320"/>
        <w:gridCol w:w="640"/>
        <w:gridCol w:w="500"/>
        <w:gridCol w:w="1200"/>
        <w:gridCol w:w="40"/>
        <w:gridCol w:w="720"/>
        <w:gridCol w:w="240"/>
        <w:gridCol w:w="720"/>
        <w:gridCol w:w="840"/>
        <w:gridCol w:w="460"/>
      </w:tblGrid>
      <w:tr>
        <w:trPr>
          <w:trHeight w:val="510"/>
        </w:trPr>
        <w:tc>
          <w:tcPr>
            <w:tcW w:w="14899" w:type="dxa"/>
            <w:gridSpan w:val="18"/>
            <w:tcBorders>
              <w:top w:val="nil"/>
              <w:left w:val="nil"/>
              <w:bottom w:val="single" w:sz="4" w:space="0" w:color="auto"/>
              <w:right w:val="nil"/>
            </w:tcBorders>
            <w:shd w:val="clear" w:color="auto" w:fill="auto"/>
            <w:noWrap/>
            <w:vAlign w:val="center"/>
          </w:tcPr>
          <w:p>
            <w:pPr>
              <w:pStyle w:val="167"/>
              <w:widowControl/>
              <w:jc w:val="center"/>
              <w:rPr>
                <w:rFonts w:ascii="宋体" w:cs="宋体"/>
                <w:b/>
                <w:bCs/>
                <w:kern w:val="0"/>
                <w:sz w:val="40"/>
                <w:szCs w:val="40"/>
              </w:rPr>
            </w:pPr>
            <w:r>
              <w:rPr>
                <w:rFonts w:ascii="宋体" w:cs="宋体" w:hint="eastAsia"/>
                <w:b/>
                <w:bCs/>
                <w:kern w:val="0"/>
                <w:sz w:val="40"/>
                <w:szCs w:val="40"/>
              </w:rPr>
              <w:t>项目实施绩效目标</w:t>
            </w:r>
          </w:p>
        </w:tc>
      </w:tr>
      <w:tr>
        <w:trPr>
          <w:trHeight w:val="319"/>
        </w:trPr>
        <w:tc>
          <w:tcPr>
            <w:tcW w:w="1680" w:type="dxa"/>
            <w:gridSpan w:val="2"/>
            <w:tcBorders>
              <w:top w:val="nil"/>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项目编码：</w:t>
            </w:r>
          </w:p>
        </w:tc>
        <w:tc>
          <w:tcPr>
            <w:tcW w:w="2660" w:type="dxa"/>
            <w:gridSpan w:val="2"/>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kern w:val="0"/>
                <w:sz w:val="20"/>
                <w:szCs w:val="20"/>
              </w:rPr>
              <w:t>102167190430060009005</w:t>
            </w:r>
          </w:p>
        </w:tc>
        <w:tc>
          <w:tcPr>
            <w:tcW w:w="3640" w:type="dxa"/>
            <w:gridSpan w:val="2"/>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项目名称：</w:t>
            </w:r>
          </w:p>
        </w:tc>
        <w:tc>
          <w:tcPr>
            <w:tcW w:w="6920" w:type="dxa"/>
            <w:gridSpan w:val="12"/>
            <w:tcBorders>
              <w:top w:val="single" w:sz="4" w:space="0" w:color="auto"/>
              <w:left w:val="nil"/>
              <w:bottom w:val="single" w:sz="4" w:space="0" w:color="auto"/>
              <w:right w:val="single" w:sz="4" w:space="0" w:color="auto"/>
            </w:tcBorders>
            <w:shd w:val="clear" w:color="auto" w:fill="auto"/>
            <w:noWrap/>
            <w:vAlign w:val="center"/>
          </w:tcPr>
          <w:p>
            <w:pPr>
              <w:pStyle w:val="167"/>
              <w:widowControl/>
              <w:jc w:val="center"/>
              <w:rPr>
                <w:rFonts w:ascii="宋体" w:cs="宋体"/>
                <w:kern w:val="0"/>
                <w:sz w:val="20"/>
                <w:szCs w:val="20"/>
              </w:rPr>
            </w:pPr>
            <w:r>
              <w:rPr>
                <w:rFonts w:ascii="宋体" w:cs="宋体" w:hint="eastAsia"/>
                <w:kern w:val="0"/>
                <w:sz w:val="20"/>
                <w:szCs w:val="20"/>
              </w:rPr>
              <w:t>国门生物安全专项</w:t>
            </w:r>
          </w:p>
        </w:tc>
      </w:tr>
      <w:tr>
        <w:trPr>
          <w:trHeight w:val="1080"/>
        </w:trPr>
        <w:tc>
          <w:tcPr>
            <w:tcW w:w="1680" w:type="dxa"/>
            <w:gridSpan w:val="2"/>
            <w:tcBorders>
              <w:top w:val="nil"/>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项目绩效目标：</w:t>
            </w:r>
          </w:p>
        </w:tc>
        <w:tc>
          <w:tcPr>
            <w:tcW w:w="13219" w:type="dxa"/>
            <w:gridSpan w:val="16"/>
            <w:tcBorders>
              <w:top w:val="single" w:sz="4" w:space="0" w:color="auto"/>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1.加强出入境动植物检疫工作各项能力建设，进一步夯实国门生物安全保障能力基础，促进监管能力和水平持续提升。</w:t>
            </w:r>
          </w:p>
          <w:p>
            <w:pPr>
              <w:pStyle w:val="167"/>
              <w:widowControl/>
              <w:jc w:val="left"/>
              <w:rPr>
                <w:rFonts w:ascii="宋体" w:cs="宋体"/>
                <w:kern w:val="0"/>
                <w:sz w:val="20"/>
                <w:szCs w:val="20"/>
              </w:rPr>
            </w:pPr>
            <w:r>
              <w:rPr>
                <w:rFonts w:ascii="宋体" w:cs="宋体" w:hint="eastAsia"/>
                <w:kern w:val="0"/>
                <w:sz w:val="20"/>
                <w:szCs w:val="20"/>
              </w:rPr>
              <w:t>2.完成年度进出境动植物检验检疫常规工作任务，稳步推进各项改革事项，有效控制重大动植物疫情疫病和有毒有害物质传入传出，有效保障农林牧渔业生产安全、人民群众生命健康安全和生态安全。</w:t>
            </w:r>
          </w:p>
          <w:p>
            <w:pPr>
              <w:pStyle w:val="167"/>
              <w:widowControl/>
              <w:jc w:val="left"/>
              <w:rPr>
                <w:rFonts w:ascii="宋体" w:cs="宋体"/>
                <w:kern w:val="0"/>
                <w:sz w:val="20"/>
                <w:szCs w:val="20"/>
              </w:rPr>
            </w:pPr>
            <w:r>
              <w:rPr>
                <w:rFonts w:ascii="宋体" w:cs="宋体" w:hint="eastAsia"/>
                <w:kern w:val="0"/>
                <w:sz w:val="20"/>
                <w:szCs w:val="20"/>
              </w:rPr>
              <w:t xml:space="preserve">3.开展国门生物安全知识宣传。  </w:t>
            </w:r>
          </w:p>
        </w:tc>
      </w:tr>
      <w:tr>
        <w:trPr>
          <w:trHeight w:val="319"/>
        </w:trPr>
        <w:tc>
          <w:tcPr>
            <w:tcW w:w="1680" w:type="dxa"/>
            <w:gridSpan w:val="2"/>
            <w:tcBorders>
              <w:top w:val="nil"/>
              <w:left w:val="single" w:sz="4" w:space="0" w:color="auto"/>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一级指标</w:t>
            </w:r>
          </w:p>
        </w:tc>
        <w:tc>
          <w:tcPr>
            <w:tcW w:w="266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二级指标</w:t>
            </w:r>
          </w:p>
        </w:tc>
        <w:tc>
          <w:tcPr>
            <w:tcW w:w="36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三级指标</w:t>
            </w:r>
          </w:p>
        </w:tc>
        <w:tc>
          <w:tcPr>
            <w:tcW w:w="12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指标类型</w:t>
            </w:r>
          </w:p>
        </w:tc>
        <w:tc>
          <w:tcPr>
            <w:tcW w:w="96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指标方向</w:t>
            </w:r>
          </w:p>
        </w:tc>
        <w:tc>
          <w:tcPr>
            <w:tcW w:w="170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目标值</w:t>
            </w:r>
          </w:p>
        </w:tc>
        <w:tc>
          <w:tcPr>
            <w:tcW w:w="1000" w:type="dxa"/>
            <w:gridSpan w:val="3"/>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计量单位</w:t>
            </w:r>
          </w:p>
        </w:tc>
        <w:tc>
          <w:tcPr>
            <w:tcW w:w="7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备注</w:t>
            </w:r>
          </w:p>
        </w:tc>
        <w:tc>
          <w:tcPr>
            <w:tcW w:w="1300" w:type="dxa"/>
            <w:gridSpan w:val="2"/>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b/>
                <w:bCs/>
                <w:kern w:val="0"/>
                <w:sz w:val="20"/>
                <w:szCs w:val="20"/>
              </w:rPr>
            </w:pPr>
            <w:r>
              <w:rPr>
                <w:rFonts w:ascii="宋体" w:cs="宋体" w:hint="eastAsia"/>
                <w:b/>
                <w:bCs/>
                <w:kern w:val="0"/>
                <w:sz w:val="20"/>
                <w:szCs w:val="20"/>
              </w:rPr>
              <w:t>分值（权重）</w:t>
            </w:r>
          </w:p>
        </w:tc>
      </w:tr>
      <w:tr>
        <w:trPr>
          <w:trHeight w:val="285"/>
        </w:trPr>
        <w:tc>
          <w:tcPr>
            <w:tcW w:w="1680" w:type="dxa"/>
            <w:gridSpan w:val="2"/>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6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数量指标</w:t>
            </w:r>
          </w:p>
        </w:tc>
        <w:tc>
          <w:tcPr>
            <w:tcW w:w="36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开展国门生物安全培训或宣传次数</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9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7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w:t>
            </w:r>
          </w:p>
        </w:tc>
        <w:tc>
          <w:tcPr>
            <w:tcW w:w="10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次</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3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20</w:t>
            </w:r>
          </w:p>
        </w:tc>
      </w:tr>
      <w:tr>
        <w:trPr>
          <w:trHeight w:val="480"/>
        </w:trPr>
        <w:tc>
          <w:tcPr>
            <w:tcW w:w="1680" w:type="dxa"/>
            <w:gridSpan w:val="2"/>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6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36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外来有害生物监测当年监测计划完成率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9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7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0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3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r>
        <w:trPr>
          <w:trHeight w:val="480"/>
        </w:trPr>
        <w:tc>
          <w:tcPr>
            <w:tcW w:w="1680" w:type="dxa"/>
            <w:gridSpan w:val="2"/>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6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36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进出境动物疫病监控计划完成率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9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7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0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3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r>
        <w:trPr>
          <w:trHeight w:val="480"/>
        </w:trPr>
        <w:tc>
          <w:tcPr>
            <w:tcW w:w="1680" w:type="dxa"/>
            <w:gridSpan w:val="2"/>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6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36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进出口食用农产品和饲料安全风险监控当年监控计划完成率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9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7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0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3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r>
        <w:trPr>
          <w:trHeight w:val="285"/>
        </w:trPr>
        <w:tc>
          <w:tcPr>
            <w:tcW w:w="1680" w:type="dxa"/>
            <w:gridSpan w:val="2"/>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效益指标</w:t>
            </w:r>
          </w:p>
        </w:tc>
        <w:tc>
          <w:tcPr>
            <w:tcW w:w="26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社会效益指标</w:t>
            </w:r>
          </w:p>
        </w:tc>
        <w:tc>
          <w:tcPr>
            <w:tcW w:w="36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进境粮食有效监管防止非法流入市场率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9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7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98</w:t>
            </w:r>
          </w:p>
        </w:tc>
        <w:tc>
          <w:tcPr>
            <w:tcW w:w="10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3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30</w:t>
            </w:r>
          </w:p>
        </w:tc>
      </w:tr>
      <w:tr>
        <w:trPr>
          <w:trHeight w:val="298"/>
        </w:trPr>
        <w:tc>
          <w:tcPr>
            <w:tcW w:w="1680" w:type="dxa"/>
            <w:gridSpan w:val="2"/>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满意度指标</w:t>
            </w:r>
          </w:p>
        </w:tc>
        <w:tc>
          <w:tcPr>
            <w:tcW w:w="26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服务对象满意度指标</w:t>
            </w:r>
          </w:p>
        </w:tc>
        <w:tc>
          <w:tcPr>
            <w:tcW w:w="36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参训人员满意度</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96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7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0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30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r>
        <w:trPr>
          <w:trHeight w:val="510"/>
          <w:gridAfter w:val="1"/>
          <w:wAfter w:w="460" w:type="dxa"/>
        </w:trPr>
        <w:tc>
          <w:tcPr>
            <w:tcW w:w="14439" w:type="dxa"/>
            <w:gridSpan w:val="17"/>
            <w:tcBorders>
              <w:top w:val="nil"/>
              <w:left w:val="nil"/>
              <w:bottom w:val="nil"/>
              <w:right w:val="nil"/>
            </w:tcBorders>
            <w:shd w:val="clear" w:color="auto" w:fill="auto"/>
            <w:noWrap/>
            <w:vAlign w:val="center"/>
          </w:tcPr>
          <w:p>
            <w:pPr>
              <w:pStyle w:val="167"/>
              <w:widowControl/>
              <w:rPr>
                <w:rFonts w:ascii="宋体" w:cs="宋体"/>
                <w:b/>
                <w:bCs/>
                <w:kern w:val="0"/>
                <w:sz w:val="40"/>
                <w:szCs w:val="40"/>
              </w:rPr>
            </w:pPr>
          </w:p>
          <w:p>
            <w:pPr>
              <w:pStyle w:val="167"/>
              <w:widowControl/>
              <w:rPr>
                <w:rFonts w:ascii="宋体" w:cs="宋体"/>
                <w:b/>
                <w:bCs/>
                <w:kern w:val="0"/>
                <w:sz w:val="40"/>
                <w:szCs w:val="40"/>
              </w:rPr>
            </w:pPr>
          </w:p>
          <w:p>
            <w:pPr>
              <w:pStyle w:val="167"/>
              <w:widowControl/>
              <w:rPr>
                <w:rFonts w:ascii="宋体" w:cs="宋体"/>
                <w:b/>
                <w:bCs/>
                <w:kern w:val="0"/>
                <w:sz w:val="40"/>
                <w:szCs w:val="40"/>
              </w:rPr>
            </w:pPr>
          </w:p>
          <w:p>
            <w:pPr>
              <w:pStyle w:val="167"/>
              <w:widowControl/>
              <w:jc w:val="center"/>
              <w:rPr>
                <w:rFonts w:ascii="宋体" w:cs="宋体"/>
                <w:b/>
                <w:bCs/>
                <w:kern w:val="0"/>
                <w:sz w:val="40"/>
                <w:szCs w:val="40"/>
              </w:rPr>
            </w:pPr>
            <w:r>
              <w:rPr>
                <w:rFonts w:ascii="宋体" w:cs="宋体" w:hint="eastAsia"/>
                <w:b/>
                <w:bCs/>
                <w:kern w:val="0"/>
                <w:sz w:val="40"/>
                <w:szCs w:val="40"/>
              </w:rPr>
              <w:t>项目实施绩效目标</w:t>
            </w:r>
          </w:p>
        </w:tc>
      </w:tr>
      <w:tr>
        <w:trPr>
          <w:trHeight w:val="319"/>
          <w:gridAfter w:val="1"/>
          <w:wAfter w:w="460" w:type="dxa"/>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项目编码：</w:t>
            </w:r>
          </w:p>
        </w:tc>
        <w:tc>
          <w:tcPr>
            <w:tcW w:w="2540" w:type="dxa"/>
            <w:gridSpan w:val="2"/>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102167190430060009002</w:t>
            </w:r>
          </w:p>
        </w:tc>
        <w:tc>
          <w:tcPr>
            <w:tcW w:w="2920" w:type="dxa"/>
            <w:gridSpan w:val="2"/>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项目名称：</w:t>
            </w:r>
          </w:p>
        </w:tc>
        <w:tc>
          <w:tcPr>
            <w:tcW w:w="7380" w:type="dxa"/>
            <w:gridSpan w:val="12"/>
            <w:tcBorders>
              <w:top w:val="single" w:sz="4" w:space="0" w:color="auto"/>
              <w:left w:val="nil"/>
              <w:bottom w:val="single" w:sz="4" w:space="0" w:color="auto"/>
              <w:right w:val="single" w:sz="4" w:space="0" w:color="auto"/>
            </w:tcBorders>
            <w:shd w:val="clear" w:color="auto" w:fill="auto"/>
            <w:noWrap/>
            <w:vAlign w:val="center"/>
          </w:tcPr>
          <w:p>
            <w:pPr>
              <w:pStyle w:val="167"/>
              <w:widowControl/>
              <w:jc w:val="center"/>
              <w:rPr>
                <w:rFonts w:ascii="宋体" w:cs="宋体"/>
                <w:kern w:val="0"/>
                <w:sz w:val="20"/>
                <w:szCs w:val="20"/>
              </w:rPr>
            </w:pPr>
            <w:r>
              <w:rPr>
                <w:rFonts w:ascii="宋体" w:cs="宋体" w:hint="eastAsia"/>
                <w:kern w:val="0"/>
                <w:sz w:val="20"/>
                <w:szCs w:val="20"/>
              </w:rPr>
              <w:t>进出口食品及化妆品安全专项</w:t>
            </w:r>
          </w:p>
        </w:tc>
      </w:tr>
      <w:tr>
        <w:trPr>
          <w:trHeight w:val="1830"/>
          <w:gridAfter w:val="1"/>
          <w:wAfter w:w="460" w:type="dxa"/>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项目绩效目标：</w:t>
            </w:r>
          </w:p>
        </w:tc>
        <w:tc>
          <w:tcPr>
            <w:tcW w:w="12839" w:type="dxa"/>
            <w:gridSpan w:val="16"/>
            <w:tcBorders>
              <w:top w:val="single" w:sz="4" w:space="0" w:color="auto"/>
              <w:left w:val="nil"/>
              <w:bottom w:val="single" w:sz="4" w:space="0" w:color="auto"/>
              <w:right w:val="single" w:sz="4" w:space="0" w:color="000000"/>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组织实施对进出口食品的检验检疫和监督管理，根据具体计划开展抽样检测；开展进出口食品化妆品安全风险分析和评估；食品安全监管人员要参加业务培训，开展必要的理论研究，提高监管人员政策水平与业务能力；加强进出口食品安全知识宣传。</w:t>
            </w:r>
          </w:p>
        </w:tc>
      </w:tr>
      <w:tr>
        <w:trPr>
          <w:trHeight w:val="319"/>
          <w:gridAfter w:val="1"/>
          <w:wAfter w:w="460" w:type="dxa"/>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一级指标</w:t>
            </w:r>
          </w:p>
        </w:tc>
        <w:tc>
          <w:tcPr>
            <w:tcW w:w="25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二级指标</w:t>
            </w:r>
          </w:p>
        </w:tc>
        <w:tc>
          <w:tcPr>
            <w:tcW w:w="292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三级指标</w:t>
            </w:r>
          </w:p>
        </w:tc>
        <w:tc>
          <w:tcPr>
            <w:tcW w:w="12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指标类型</w:t>
            </w:r>
          </w:p>
        </w:tc>
        <w:tc>
          <w:tcPr>
            <w:tcW w:w="12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指标方向</w:t>
            </w:r>
          </w:p>
        </w:tc>
        <w:tc>
          <w:tcPr>
            <w:tcW w:w="11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目标值</w:t>
            </w:r>
          </w:p>
        </w:tc>
        <w:tc>
          <w:tcPr>
            <w:tcW w:w="1240" w:type="dxa"/>
            <w:gridSpan w:val="2"/>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计量单位</w:t>
            </w:r>
          </w:p>
        </w:tc>
        <w:tc>
          <w:tcPr>
            <w:tcW w:w="7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备注</w:t>
            </w:r>
          </w:p>
        </w:tc>
        <w:tc>
          <w:tcPr>
            <w:tcW w:w="1800" w:type="dxa"/>
            <w:gridSpan w:val="3"/>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b/>
                <w:bCs/>
                <w:kern w:val="0"/>
                <w:sz w:val="20"/>
                <w:szCs w:val="20"/>
              </w:rPr>
            </w:pPr>
            <w:r>
              <w:rPr>
                <w:rFonts w:ascii="宋体" w:cs="宋体" w:hint="eastAsia"/>
                <w:b/>
                <w:bCs/>
                <w:kern w:val="0"/>
                <w:sz w:val="20"/>
                <w:szCs w:val="20"/>
              </w:rPr>
              <w:t>分值（权重）</w:t>
            </w:r>
          </w:p>
        </w:tc>
      </w:tr>
      <w:tr>
        <w:trPr>
          <w:trHeight w:val="285"/>
          <w:gridAfter w:val="1"/>
          <w:wAfter w:w="460" w:type="dxa"/>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92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完成年度食品化妆品安全监测任务率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1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100</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8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20</w:t>
            </w:r>
          </w:p>
        </w:tc>
      </w:tr>
      <w:tr>
        <w:trPr>
          <w:trHeight w:val="285"/>
          <w:gridAfter w:val="1"/>
          <w:wAfter w:w="460" w:type="dxa"/>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92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抽批产品检验检疫完成率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1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100</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8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w:t>
            </w:r>
            <w:r>
              <w:rPr>
                <w:rFonts w:ascii="宋体" w:cs="宋体"/>
                <w:kern w:val="0"/>
                <w:sz w:val="20"/>
                <w:szCs w:val="20"/>
              </w:rPr>
              <w:t>5</w:t>
            </w:r>
          </w:p>
        </w:tc>
      </w:tr>
      <w:tr>
        <w:trPr>
          <w:trHeight w:val="285"/>
          <w:gridAfter w:val="1"/>
          <w:wAfter w:w="460" w:type="dxa"/>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92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食品安全监管人员参训率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1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90</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8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w:t>
            </w:r>
            <w:r>
              <w:rPr>
                <w:rFonts w:ascii="宋体" w:cs="宋体"/>
                <w:kern w:val="0"/>
                <w:sz w:val="20"/>
                <w:szCs w:val="20"/>
              </w:rPr>
              <w:t>5</w:t>
            </w:r>
          </w:p>
        </w:tc>
      </w:tr>
      <w:tr>
        <w:trPr>
          <w:trHeight w:val="285"/>
          <w:gridAfter w:val="1"/>
          <w:wAfter w:w="460" w:type="dxa"/>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效益指标</w:t>
            </w:r>
          </w:p>
        </w:tc>
        <w:tc>
          <w:tcPr>
            <w:tcW w:w="25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社会效益指标</w:t>
            </w:r>
          </w:p>
        </w:tc>
        <w:tc>
          <w:tcPr>
            <w:tcW w:w="292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开展食品安全宣传周活动</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定性指标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1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有效</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8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30</w:t>
            </w:r>
          </w:p>
        </w:tc>
      </w:tr>
      <w:tr>
        <w:trPr>
          <w:trHeight w:val="285"/>
          <w:gridAfter w:val="1"/>
          <w:wAfter w:w="460" w:type="dxa"/>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满意度指标</w:t>
            </w:r>
          </w:p>
        </w:tc>
        <w:tc>
          <w:tcPr>
            <w:tcW w:w="25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服务对象满意度指标</w:t>
            </w:r>
          </w:p>
        </w:tc>
        <w:tc>
          <w:tcPr>
            <w:tcW w:w="292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培训人员满意度</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11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240" w:type="dxa"/>
            <w:gridSpan w:val="2"/>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7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p>
        </w:tc>
        <w:tc>
          <w:tcPr>
            <w:tcW w:w="1800" w:type="dxa"/>
            <w:gridSpan w:val="3"/>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bl>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tbl>
      <w:tblPr>
        <w:jc w:val="left"/>
        <w:tblInd w:w="93" w:type="dxa"/>
        <w:tblW w:w="1358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00"/>
        <w:gridCol w:w="2520"/>
        <w:gridCol w:w="2880"/>
        <w:gridCol w:w="1020"/>
        <w:gridCol w:w="1020"/>
        <w:gridCol w:w="960"/>
        <w:gridCol w:w="1500"/>
        <w:gridCol w:w="600"/>
        <w:gridCol w:w="1480"/>
      </w:tblGrid>
      <w:tr>
        <w:trPr>
          <w:trHeight w:val="510"/>
        </w:trPr>
        <w:tc>
          <w:tcPr>
            <w:tcW w:w="13580" w:type="dxa"/>
            <w:gridSpan w:val="9"/>
            <w:tcBorders>
              <w:top w:val="nil"/>
              <w:left w:val="nil"/>
              <w:bottom w:val="nil"/>
              <w:right w:val="nil"/>
            </w:tcBorders>
            <w:shd w:val="clear" w:color="auto" w:fill="auto"/>
            <w:noWrap/>
            <w:vAlign w:val="center"/>
          </w:tcPr>
          <w:p>
            <w:pPr>
              <w:pStyle w:val="167"/>
              <w:widowControl/>
              <w:rPr>
                <w:rFonts w:ascii="宋体" w:cs="宋体"/>
                <w:b/>
                <w:bCs/>
                <w:kern w:val="0"/>
                <w:sz w:val="40"/>
                <w:szCs w:val="40"/>
              </w:rPr>
            </w:pPr>
          </w:p>
          <w:p>
            <w:pPr>
              <w:pStyle w:val="167"/>
              <w:widowControl/>
              <w:jc w:val="center"/>
              <w:rPr>
                <w:rFonts w:ascii="宋体" w:cs="宋体"/>
                <w:b/>
                <w:bCs/>
                <w:kern w:val="0"/>
                <w:sz w:val="40"/>
                <w:szCs w:val="40"/>
              </w:rPr>
            </w:pPr>
            <w:r>
              <w:rPr>
                <w:rFonts w:ascii="宋体" w:cs="宋体" w:hint="eastAsia"/>
                <w:b/>
                <w:bCs/>
                <w:kern w:val="0"/>
                <w:sz w:val="40"/>
                <w:szCs w:val="40"/>
              </w:rPr>
              <w:t>项目实施绩效目标</w:t>
            </w:r>
          </w:p>
        </w:tc>
      </w:tr>
      <w:tr>
        <w:trPr>
          <w:trHeight w:val="319"/>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项目编码：</w:t>
            </w:r>
          </w:p>
        </w:tc>
        <w:tc>
          <w:tcPr>
            <w:tcW w:w="2520" w:type="dxa"/>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102167220430060009004</w:t>
            </w:r>
          </w:p>
        </w:tc>
        <w:tc>
          <w:tcPr>
            <w:tcW w:w="2880" w:type="dxa"/>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项目名称：</w:t>
            </w:r>
          </w:p>
        </w:tc>
        <w:tc>
          <w:tcPr>
            <w:tcW w:w="6580" w:type="dxa"/>
            <w:gridSpan w:val="6"/>
            <w:tcBorders>
              <w:top w:val="single" w:sz="4" w:space="0" w:color="auto"/>
              <w:left w:val="nil"/>
              <w:bottom w:val="single" w:sz="4" w:space="0" w:color="auto"/>
              <w:right w:val="single" w:sz="4" w:space="0" w:color="auto"/>
            </w:tcBorders>
            <w:shd w:val="clear" w:color="auto" w:fill="auto"/>
            <w:noWrap/>
            <w:vAlign w:val="center"/>
          </w:tcPr>
          <w:p>
            <w:pPr>
              <w:pStyle w:val="167"/>
              <w:widowControl/>
              <w:jc w:val="center"/>
              <w:rPr>
                <w:rFonts w:ascii="宋体" w:cs="宋体"/>
                <w:kern w:val="0"/>
                <w:sz w:val="20"/>
                <w:szCs w:val="20"/>
              </w:rPr>
            </w:pPr>
            <w:r>
              <w:rPr>
                <w:rFonts w:ascii="宋体" w:cs="宋体" w:hint="eastAsia"/>
                <w:kern w:val="0"/>
                <w:sz w:val="20"/>
                <w:szCs w:val="20"/>
              </w:rPr>
              <w:t>海关业务保障及能力提升专项</w:t>
            </w:r>
          </w:p>
        </w:tc>
      </w:tr>
      <w:tr>
        <w:trPr>
          <w:trHeight w:val="1335"/>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项目绩效目标：</w:t>
            </w:r>
          </w:p>
        </w:tc>
        <w:tc>
          <w:tcPr>
            <w:tcW w:w="11980" w:type="dxa"/>
            <w:gridSpan w:val="8"/>
            <w:tcBorders>
              <w:top w:val="single" w:sz="4" w:space="0" w:color="auto"/>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1.保障我关行政执法、风险管理、业务保障等公务用车经费需求,提升我关行政执法能力和执法水平；</w:t>
            </w:r>
          </w:p>
          <w:p>
            <w:pPr>
              <w:pStyle w:val="167"/>
              <w:widowControl/>
              <w:jc w:val="left"/>
              <w:rPr>
                <w:rFonts w:ascii="宋体" w:cs="宋体"/>
                <w:kern w:val="0"/>
                <w:sz w:val="20"/>
                <w:szCs w:val="20"/>
              </w:rPr>
            </w:pPr>
            <w:r>
              <w:rPr>
                <w:rFonts w:ascii="宋体" w:cs="宋体" w:hint="eastAsia"/>
                <w:kern w:val="0"/>
                <w:sz w:val="20"/>
                <w:szCs w:val="20"/>
              </w:rPr>
              <w:t>2.保障我关开展执法业务所需的各类任务有序开展。</w:t>
            </w:r>
          </w:p>
        </w:tc>
      </w:tr>
      <w:tr>
        <w:trPr>
          <w:trHeight w:val="319"/>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一级指标</w:t>
            </w:r>
          </w:p>
        </w:tc>
        <w:tc>
          <w:tcPr>
            <w:tcW w:w="25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二级指标</w:t>
            </w:r>
          </w:p>
        </w:tc>
        <w:tc>
          <w:tcPr>
            <w:tcW w:w="288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三级指标</w:t>
            </w:r>
          </w:p>
        </w:tc>
        <w:tc>
          <w:tcPr>
            <w:tcW w:w="10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指标类型</w:t>
            </w:r>
          </w:p>
        </w:tc>
        <w:tc>
          <w:tcPr>
            <w:tcW w:w="10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指标方向</w:t>
            </w:r>
          </w:p>
        </w:tc>
        <w:tc>
          <w:tcPr>
            <w:tcW w:w="96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目标值</w:t>
            </w:r>
          </w:p>
        </w:tc>
        <w:tc>
          <w:tcPr>
            <w:tcW w:w="150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计量单位</w:t>
            </w:r>
          </w:p>
        </w:tc>
        <w:tc>
          <w:tcPr>
            <w:tcW w:w="60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备注</w:t>
            </w:r>
          </w:p>
        </w:tc>
        <w:tc>
          <w:tcPr>
            <w:tcW w:w="1480" w:type="dxa"/>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b/>
                <w:bCs/>
                <w:kern w:val="0"/>
                <w:sz w:val="20"/>
                <w:szCs w:val="20"/>
              </w:rPr>
            </w:pPr>
            <w:r>
              <w:rPr>
                <w:rFonts w:ascii="宋体" w:cs="宋体" w:hint="eastAsia"/>
                <w:b/>
                <w:bCs/>
                <w:kern w:val="0"/>
                <w:sz w:val="20"/>
                <w:szCs w:val="20"/>
              </w:rPr>
              <w:t>分值（权重）</w:t>
            </w:r>
          </w:p>
        </w:tc>
      </w:tr>
      <w:tr>
        <w:trPr>
          <w:trHeight w:val="480"/>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数量指标</w:t>
            </w:r>
          </w:p>
        </w:tc>
        <w:tc>
          <w:tcPr>
            <w:tcW w:w="28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保障公务用车数量</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96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5</w:t>
            </w:r>
          </w:p>
        </w:tc>
        <w:tc>
          <w:tcPr>
            <w:tcW w:w="15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辆</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20</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数量指标</w:t>
            </w:r>
          </w:p>
        </w:tc>
        <w:tc>
          <w:tcPr>
            <w:tcW w:w="28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临聘人员数量</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96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10</w:t>
            </w:r>
          </w:p>
        </w:tc>
        <w:tc>
          <w:tcPr>
            <w:tcW w:w="15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kern w:val="0"/>
                <w:sz w:val="20"/>
                <w:szCs w:val="20"/>
              </w:rPr>
              <w:t>名</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15</w:t>
            </w:r>
          </w:p>
        </w:tc>
      </w:tr>
      <w:tr>
        <w:trPr>
          <w:trHeight w:val="480"/>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8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车辆维保完成率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96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5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15</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效益指标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社会效益指标</w:t>
            </w:r>
          </w:p>
        </w:tc>
        <w:tc>
          <w:tcPr>
            <w:tcW w:w="28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保障业务执法正常运行</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定性指标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96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有效</w:t>
            </w:r>
          </w:p>
        </w:tc>
        <w:tc>
          <w:tcPr>
            <w:tcW w:w="15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30</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满意度指标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服务对象满意度指标</w:t>
            </w:r>
          </w:p>
        </w:tc>
        <w:tc>
          <w:tcPr>
            <w:tcW w:w="28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监管对象满意度</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96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90</w:t>
            </w:r>
          </w:p>
        </w:tc>
        <w:tc>
          <w:tcPr>
            <w:tcW w:w="15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bl>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p>
      <w:pPr>
        <w:pStyle w:val="167"/>
        <w:jc w:val="left"/>
        <w:rPr>
          <w:rFonts w:ascii="Times New Roman" w:eastAsia="方正仿宋_GBK" w:hAnsi="Times New Roman"/>
          <w:sz w:val="32"/>
          <w:szCs w:val="32"/>
        </w:rPr>
      </w:pPr>
    </w:p>
    <w:tbl>
      <w:tblPr>
        <w:jc w:val="left"/>
        <w:tblInd w:w="93" w:type="dxa"/>
        <w:tblW w:w="1300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600"/>
        <w:gridCol w:w="2520"/>
        <w:gridCol w:w="2920"/>
        <w:gridCol w:w="1020"/>
        <w:gridCol w:w="1020"/>
        <w:gridCol w:w="820"/>
        <w:gridCol w:w="1020"/>
        <w:gridCol w:w="600"/>
        <w:gridCol w:w="1480"/>
      </w:tblGrid>
      <w:tr>
        <w:trPr>
          <w:trHeight w:val="630"/>
        </w:trPr>
        <w:tc>
          <w:tcPr>
            <w:tcW w:w="13000" w:type="dxa"/>
            <w:gridSpan w:val="9"/>
            <w:tcBorders>
              <w:top w:val="nil"/>
              <w:left w:val="nil"/>
              <w:bottom w:val="nil"/>
              <w:right w:val="nil"/>
            </w:tcBorders>
            <w:shd w:val="clear" w:color="auto" w:fill="auto"/>
            <w:noWrap/>
            <w:vAlign w:val="center"/>
          </w:tcPr>
          <w:p>
            <w:pPr>
              <w:pStyle w:val="167"/>
              <w:widowControl/>
              <w:jc w:val="center"/>
              <w:rPr>
                <w:rFonts w:ascii="宋体" w:cs="宋体"/>
                <w:b/>
                <w:bCs/>
                <w:kern w:val="0"/>
                <w:sz w:val="40"/>
                <w:szCs w:val="40"/>
              </w:rPr>
            </w:pPr>
          </w:p>
          <w:p>
            <w:pPr>
              <w:pStyle w:val="167"/>
              <w:widowControl/>
              <w:jc w:val="center"/>
              <w:rPr>
                <w:rFonts w:ascii="宋体" w:cs="宋体"/>
                <w:b/>
                <w:bCs/>
                <w:kern w:val="0"/>
                <w:sz w:val="40"/>
                <w:szCs w:val="40"/>
              </w:rPr>
            </w:pPr>
            <w:r>
              <w:rPr>
                <w:rFonts w:ascii="宋体" w:cs="宋体" w:hint="eastAsia"/>
                <w:b/>
                <w:bCs/>
                <w:kern w:val="0"/>
                <w:sz w:val="40"/>
                <w:szCs w:val="40"/>
              </w:rPr>
              <w:t>项目实施绩效目标</w:t>
            </w:r>
          </w:p>
        </w:tc>
      </w:tr>
      <w:tr>
        <w:trPr>
          <w:trHeight w:val="319"/>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项目编码：</w:t>
            </w:r>
          </w:p>
        </w:tc>
        <w:tc>
          <w:tcPr>
            <w:tcW w:w="2520" w:type="dxa"/>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102167190430060009004</w:t>
            </w:r>
          </w:p>
        </w:tc>
        <w:tc>
          <w:tcPr>
            <w:tcW w:w="2920" w:type="dxa"/>
            <w:tcBorders>
              <w:top w:val="single" w:sz="4" w:space="0" w:color="auto"/>
              <w:left w:val="nil"/>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项目名称：</w:t>
            </w:r>
          </w:p>
        </w:tc>
        <w:tc>
          <w:tcPr>
            <w:tcW w:w="5960" w:type="dxa"/>
            <w:gridSpan w:val="6"/>
            <w:tcBorders>
              <w:top w:val="single" w:sz="4" w:space="0" w:color="auto"/>
              <w:left w:val="nil"/>
              <w:bottom w:val="single" w:sz="4" w:space="0" w:color="auto"/>
              <w:right w:val="single" w:sz="4" w:space="0" w:color="auto"/>
            </w:tcBorders>
            <w:shd w:val="clear" w:color="auto" w:fill="auto"/>
            <w:noWrap/>
            <w:vAlign w:val="center"/>
          </w:tcPr>
          <w:p>
            <w:pPr>
              <w:pStyle w:val="167"/>
              <w:widowControl/>
              <w:jc w:val="center"/>
              <w:rPr>
                <w:rFonts w:ascii="宋体" w:cs="宋体"/>
                <w:kern w:val="0"/>
                <w:sz w:val="20"/>
                <w:szCs w:val="20"/>
              </w:rPr>
            </w:pPr>
            <w:r>
              <w:rPr>
                <w:rFonts w:ascii="宋体" w:cs="宋体" w:hint="eastAsia"/>
                <w:kern w:val="0"/>
                <w:sz w:val="20"/>
                <w:szCs w:val="20"/>
              </w:rPr>
              <w:t>进出口商品质量安全检验监管专项</w:t>
            </w:r>
          </w:p>
        </w:tc>
      </w:tr>
      <w:tr>
        <w:trPr>
          <w:trHeight w:val="1560"/>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left"/>
              <w:rPr>
                <w:rFonts w:ascii="宋体" w:cs="宋体"/>
                <w:kern w:val="0"/>
                <w:sz w:val="20"/>
                <w:szCs w:val="20"/>
              </w:rPr>
            </w:pPr>
            <w:r>
              <w:rPr>
                <w:rFonts w:ascii="宋体" w:cs="宋体" w:hint="eastAsia"/>
                <w:kern w:val="0"/>
                <w:sz w:val="20"/>
                <w:szCs w:val="20"/>
              </w:rPr>
              <w:t>项目绩效目标：</w:t>
            </w:r>
          </w:p>
        </w:tc>
        <w:tc>
          <w:tcPr>
            <w:tcW w:w="11400" w:type="dxa"/>
            <w:gridSpan w:val="8"/>
            <w:tcBorders>
              <w:top w:val="single" w:sz="4" w:space="0" w:color="auto"/>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依据《中华人民共和国进出口商检法》及其实施条例等法律法规，保障聊城海关履行进出口商品检验监管职能，完善进出口商品质量安全监管制度和做好进出口商品检验监管工作，着力提升进口商品质量安全保障水平和出口商品质量竞争水平，维护国门安全。</w:t>
            </w:r>
          </w:p>
        </w:tc>
      </w:tr>
      <w:tr>
        <w:trPr>
          <w:trHeight w:val="319"/>
        </w:trPr>
        <w:tc>
          <w:tcPr>
            <w:tcW w:w="1600" w:type="dxa"/>
            <w:tcBorders>
              <w:top w:val="nil"/>
              <w:left w:val="single" w:sz="4" w:space="0" w:color="auto"/>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一级指标</w:t>
            </w:r>
          </w:p>
        </w:tc>
        <w:tc>
          <w:tcPr>
            <w:tcW w:w="25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二级指标</w:t>
            </w:r>
          </w:p>
        </w:tc>
        <w:tc>
          <w:tcPr>
            <w:tcW w:w="29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三级指标</w:t>
            </w:r>
          </w:p>
        </w:tc>
        <w:tc>
          <w:tcPr>
            <w:tcW w:w="10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指标类型</w:t>
            </w:r>
          </w:p>
        </w:tc>
        <w:tc>
          <w:tcPr>
            <w:tcW w:w="10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指标方向</w:t>
            </w:r>
          </w:p>
        </w:tc>
        <w:tc>
          <w:tcPr>
            <w:tcW w:w="8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目标值</w:t>
            </w:r>
          </w:p>
        </w:tc>
        <w:tc>
          <w:tcPr>
            <w:tcW w:w="102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计量单位</w:t>
            </w:r>
          </w:p>
        </w:tc>
        <w:tc>
          <w:tcPr>
            <w:tcW w:w="600" w:type="dxa"/>
            <w:tcBorders>
              <w:top w:val="nil"/>
              <w:left w:val="nil"/>
              <w:bottom w:val="single" w:sz="4" w:space="0" w:color="auto"/>
              <w:right w:val="single" w:sz="4" w:space="0" w:color="auto"/>
            </w:tcBorders>
            <w:shd w:val="clear" w:color="auto" w:fill="auto"/>
            <w:noWrap/>
            <w:vAlign w:val="center"/>
          </w:tcPr>
          <w:p>
            <w:pPr>
              <w:pStyle w:val="167"/>
              <w:widowControl/>
              <w:jc w:val="center"/>
              <w:rPr>
                <w:rFonts w:ascii="宋体" w:cs="宋体"/>
                <w:b/>
                <w:bCs/>
                <w:kern w:val="0"/>
                <w:sz w:val="20"/>
                <w:szCs w:val="20"/>
              </w:rPr>
            </w:pPr>
            <w:r>
              <w:rPr>
                <w:rFonts w:ascii="宋体" w:cs="宋体" w:hint="eastAsia"/>
                <w:b/>
                <w:bCs/>
                <w:kern w:val="0"/>
                <w:sz w:val="20"/>
                <w:szCs w:val="20"/>
              </w:rPr>
              <w:t>备注</w:t>
            </w:r>
          </w:p>
        </w:tc>
        <w:tc>
          <w:tcPr>
            <w:tcW w:w="1480" w:type="dxa"/>
            <w:tcBorders>
              <w:top w:val="nil"/>
              <w:left w:val="nil"/>
              <w:bottom w:val="single" w:sz="4" w:space="0" w:color="auto"/>
              <w:right w:val="single" w:sz="4" w:space="0" w:color="auto"/>
            </w:tcBorders>
            <w:shd w:val="clear" w:color="auto" w:fill="auto"/>
            <w:noWrap/>
            <w:vAlign w:val="center"/>
          </w:tcPr>
          <w:p>
            <w:pPr>
              <w:pStyle w:val="167"/>
              <w:widowControl/>
              <w:jc w:val="left"/>
              <w:rPr>
                <w:rFonts w:ascii="宋体" w:cs="宋体"/>
                <w:b/>
                <w:bCs/>
                <w:kern w:val="0"/>
                <w:sz w:val="20"/>
                <w:szCs w:val="20"/>
              </w:rPr>
            </w:pPr>
            <w:r>
              <w:rPr>
                <w:rFonts w:ascii="宋体" w:cs="宋体" w:hint="eastAsia"/>
                <w:b/>
                <w:bCs/>
                <w:kern w:val="0"/>
                <w:sz w:val="20"/>
                <w:szCs w:val="20"/>
              </w:rPr>
              <w:t>分值（权重）</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数量指标</w:t>
            </w:r>
          </w:p>
        </w:tc>
        <w:tc>
          <w:tcPr>
            <w:tcW w:w="29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进出口法检商品检验批次数量</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8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100</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批</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15</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数量指标</w:t>
            </w:r>
          </w:p>
        </w:tc>
        <w:tc>
          <w:tcPr>
            <w:tcW w:w="29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风险监测获取的有效信息数量</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8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项</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15</w:t>
            </w:r>
          </w:p>
        </w:tc>
      </w:tr>
      <w:tr>
        <w:trPr>
          <w:trHeight w:val="480"/>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9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进出口产品质量安全追溯调查完成率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8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r>
        <w:trPr>
          <w:trHeight w:val="480"/>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产出指标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质量指标</w:t>
            </w:r>
          </w:p>
        </w:tc>
        <w:tc>
          <w:tcPr>
            <w:tcW w:w="29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进出口危险化学品及包装实施检验率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定量指标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8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95</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10</w:t>
            </w:r>
          </w:p>
        </w:tc>
      </w:tr>
      <w:tr>
        <w:trPr>
          <w:trHeight w:val="285"/>
        </w:trPr>
        <w:tc>
          <w:tcPr>
            <w:tcW w:w="1600" w:type="dxa"/>
            <w:tcBorders>
              <w:top w:val="nil"/>
              <w:left w:val="single" w:sz="4" w:space="0" w:color="auto"/>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效益指标</w:t>
            </w:r>
          </w:p>
        </w:tc>
        <w:tc>
          <w:tcPr>
            <w:tcW w:w="25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社会效益指标</w:t>
            </w:r>
          </w:p>
        </w:tc>
        <w:tc>
          <w:tcPr>
            <w:tcW w:w="29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保障人民生命健康安全有力有效</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定性指标</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有效</w:t>
            </w:r>
          </w:p>
        </w:tc>
        <w:tc>
          <w:tcPr>
            <w:tcW w:w="102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60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 xml:space="preserve"> </w:t>
            </w:r>
          </w:p>
        </w:tc>
        <w:tc>
          <w:tcPr>
            <w:tcW w:w="1480" w:type="dxa"/>
            <w:tcBorders>
              <w:top w:val="nil"/>
              <w:left w:val="nil"/>
              <w:bottom w:val="single" w:sz="4" w:space="0" w:color="auto"/>
              <w:right w:val="single" w:sz="4" w:space="0" w:color="auto"/>
            </w:tcBorders>
            <w:shd w:val="clear" w:color="auto" w:fill="auto"/>
            <w:vAlign w:val="center"/>
          </w:tcPr>
          <w:p>
            <w:pPr>
              <w:pStyle w:val="167"/>
              <w:widowControl/>
              <w:jc w:val="left"/>
              <w:rPr>
                <w:rFonts w:ascii="宋体" w:cs="宋体"/>
                <w:kern w:val="0"/>
                <w:sz w:val="20"/>
                <w:szCs w:val="20"/>
              </w:rPr>
            </w:pPr>
            <w:r>
              <w:rPr>
                <w:rFonts w:ascii="宋体" w:cs="宋体" w:hint="eastAsia"/>
                <w:kern w:val="0"/>
                <w:sz w:val="20"/>
                <w:szCs w:val="20"/>
              </w:rPr>
              <w:t>40</w:t>
            </w:r>
          </w:p>
        </w:tc>
      </w:tr>
    </w:tbl>
    <w:p>
      <w:pPr>
        <w:pStyle w:val="167"/>
        <w:jc w:val="left"/>
        <w:rPr>
          <w:rFonts w:ascii="Times New Roman" w:eastAsia="方正仿宋_GBK" w:hAnsi="Times New Roman"/>
          <w:sz w:val="32"/>
          <w:szCs w:val="32"/>
        </w:rPr>
      </w:pPr>
    </w:p>
    <w:p>
      <w:pPr>
        <w:keepNext w:val="0"/>
        <w:widowControl w:val="0"/>
        <w:jc w:val="left"/>
        <w:rPr>
          <w:rFonts w:ascii="Times New Roman" w:eastAsia="方正仿宋_GBK" w:hAnsi="Times New Roman"/>
          <w:sz w:val="32"/>
          <w:szCs w:val="32"/>
        </w:rPr>
      </w:pPr>
    </w:p>
    <w:sectPr>
      <w:pgSz w:w="16838" w:h="11906" w:orient="landscape"/>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7"/>
      </w:rPr>
      <w:fldChar w:fldCharType="begin"/>
    </w:r>
    <w:r>
      <w:rPr>
        <w:rStyle w:val="17"/>
      </w:rPr>
      <w:instrText>Page</w:instrText>
    </w:r>
    <w:r>
      <w:rPr>
        <w:rStyle w:val="17"/>
      </w:rPr>
      <w:fldChar w:fldCharType="separate"/>
    </w:r>
    <w:r>
      <w:rPr>
        <w:rStyle w:val="17"/>
      </w:rPr>
      <w:t>0</w:t>
    </w:r>
    <w:r>
      <w:rPr>
        <w:rStyle w:val="17"/>
      </w:rPr>
      <w:fldChar w:fldCharType="end"/>
    </w:r>
  </w:p>
  <w:p>
    <w:pPr>
      <w:pStyle w:val="15"/>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List Paragraph"/>
    <w:basedOn w:val="0"/>
    <w:pPr>
      <w:ind w:firstLineChars="200" w:firstLine="200"/>
    </w:pPr>
  </w:style>
  <w:style w:type="paragraph" w:customStyle="1" w:styleId="31">
    <w:name w:val="样式 2 三号"/>
    <w:next w:val="32"/>
    <w:pPr>
      <w:widowControl w:val="0"/>
      <w:jc w:val="both"/>
    </w:pPr>
    <w:rPr>
      <w:rFonts w:ascii="Times New Roman" w:eastAsia="方正仿宋_GBK" w:cs="Times New Roman" w:hAnsi="Times New Roman"/>
      <w:kern w:val="2"/>
      <w:sz w:val="32"/>
      <w:szCs w:val="32"/>
      <w:lang w:val="en-US" w:eastAsia="zh-CN" w:bidi="ar-SA"/>
    </w:rPr>
  </w:style>
  <w:style w:type="paragraph" w:styleId="32">
    <w:name w:val="index 8"/>
    <w:basedOn w:val="0"/>
    <w:autoRedefine/>
    <w:next w:val="0"/>
    <w:pPr>
      <w:ind w:leftChars="1400" w:left="1400"/>
    </w:pPr>
  </w:style>
  <w:style w:type="paragraph" w:customStyle="1" w:styleId="33">
    <w:name w:val="样式 10 磅"/>
    <w:pPr>
      <w:widowControl w:val="0"/>
      <w:jc w:val="both"/>
    </w:pPr>
    <w:rPr>
      <w:rFonts w:ascii="Calibri" w:eastAsia="宋体" w:cs="Arial" w:hAnsi="Calibri"/>
      <w:kern w:val="2"/>
      <w:sz w:val="21"/>
      <w:szCs w:val="22"/>
      <w:lang w:val="en-US" w:eastAsia="zh-CN" w:bidi="ar-SA"/>
    </w:rPr>
  </w:style>
  <w:style w:type="paragraph" w:customStyle="1" w:styleId="34">
    <w:name w:val="样式 3 10 磅"/>
    <w:pPr>
      <w:widowControl w:val="0"/>
      <w:jc w:val="both"/>
    </w:pPr>
    <w:rPr>
      <w:rFonts w:ascii="Calibri" w:eastAsia="宋体" w:cs="Arial" w:hAnsi="Calibri"/>
      <w:kern w:val="2"/>
      <w:sz w:val="21"/>
      <w:szCs w:val="22"/>
      <w:lang w:val="en-US" w:eastAsia="zh-CN" w:bidi="ar-SA"/>
    </w:rPr>
  </w:style>
  <w:style w:type="paragraph" w:customStyle="1" w:styleId="35">
    <w:name w:val="样式 5 10 磅"/>
    <w:pPr>
      <w:widowControl w:val="0"/>
      <w:jc w:val="both"/>
    </w:pPr>
    <w:rPr>
      <w:rFonts w:ascii="Calibri" w:eastAsia="宋体" w:cs="Arial" w:hAnsi="Calibri"/>
      <w:kern w:val="2"/>
      <w:sz w:val="21"/>
      <w:szCs w:val="22"/>
      <w:lang w:val="en-US" w:eastAsia="zh-CN" w:bidi="ar-SA"/>
    </w:rPr>
  </w:style>
  <w:style w:type="paragraph" w:customStyle="1" w:styleId="36">
    <w:name w:val="样式 6 10 磅"/>
    <w:pPr>
      <w:widowControl w:val="0"/>
      <w:jc w:val="both"/>
    </w:pPr>
    <w:rPr>
      <w:rFonts w:ascii="Calibri" w:eastAsia="宋体" w:cs="Arial" w:hAnsi="Calibri"/>
      <w:kern w:val="2"/>
      <w:sz w:val="21"/>
      <w:szCs w:val="22"/>
      <w:lang w:val="en-US" w:eastAsia="zh-CN" w:bidi="ar-SA"/>
    </w:rPr>
  </w:style>
  <w:style w:type="paragraph" w:customStyle="1" w:styleId="37">
    <w:name w:val="样式 7 10 磅"/>
    <w:pPr>
      <w:widowControl w:val="0"/>
      <w:jc w:val="both"/>
    </w:pPr>
    <w:rPr>
      <w:rFonts w:ascii="Calibri" w:eastAsia="宋体" w:cs="Arial" w:hAnsi="Calibri"/>
      <w:kern w:val="2"/>
      <w:sz w:val="21"/>
      <w:szCs w:val="22"/>
      <w:lang w:val="en-US" w:eastAsia="zh-CN" w:bidi="ar-SA"/>
    </w:rPr>
  </w:style>
  <w:style w:type="paragraph" w:customStyle="1" w:styleId="38">
    <w:name w:val="样式 8 10 磅"/>
    <w:pPr>
      <w:widowControl w:val="0"/>
      <w:jc w:val="both"/>
    </w:pPr>
    <w:rPr>
      <w:rFonts w:ascii="Calibri" w:eastAsia="宋体" w:cs="Arial" w:hAnsi="Calibri"/>
      <w:kern w:val="2"/>
      <w:sz w:val="21"/>
      <w:szCs w:val="22"/>
      <w:lang w:val="en-US" w:eastAsia="zh-CN" w:bidi="ar-SA"/>
    </w:rPr>
  </w:style>
  <w:style w:type="paragraph" w:customStyle="1" w:styleId="39">
    <w:name w:val="样式 9 10 磅"/>
    <w:pPr>
      <w:widowControl w:val="0"/>
      <w:jc w:val="both"/>
    </w:pPr>
    <w:rPr>
      <w:rFonts w:ascii="Calibri" w:eastAsia="宋体" w:cs="Arial" w:hAnsi="Calibri"/>
      <w:kern w:val="2"/>
      <w:sz w:val="21"/>
      <w:szCs w:val="22"/>
      <w:lang w:val="en-US" w:eastAsia="zh-CN" w:bidi="ar-SA"/>
    </w:rPr>
  </w:style>
  <w:style w:type="paragraph" w:customStyle="1" w:styleId="40">
    <w:name w:val="样式 10 10 磅"/>
    <w:pPr>
      <w:widowControl w:val="0"/>
      <w:jc w:val="both"/>
    </w:pPr>
    <w:rPr>
      <w:rFonts w:ascii="Calibri" w:eastAsia="宋体" w:cs="Arial" w:hAnsi="Calibri"/>
      <w:kern w:val="2"/>
      <w:sz w:val="21"/>
      <w:szCs w:val="22"/>
      <w:lang w:val="en-US" w:eastAsia="zh-CN" w:bidi="ar-SA"/>
    </w:rPr>
  </w:style>
  <w:style w:type="paragraph" w:customStyle="1" w:styleId="41">
    <w:name w:val="样式 11 10 磅"/>
    <w:pPr>
      <w:widowControl w:val="0"/>
      <w:jc w:val="both"/>
    </w:pPr>
    <w:rPr>
      <w:rFonts w:ascii="Calibri" w:eastAsia="宋体" w:cs="Arial" w:hAnsi="Calibri"/>
      <w:kern w:val="2"/>
      <w:sz w:val="21"/>
      <w:szCs w:val="22"/>
      <w:lang w:val="en-US" w:eastAsia="zh-CN" w:bidi="ar-SA"/>
    </w:rPr>
  </w:style>
  <w:style w:type="paragraph" w:customStyle="1" w:styleId="42">
    <w:name w:val="样式 12 10 磅"/>
    <w:pPr>
      <w:widowControl w:val="0"/>
      <w:jc w:val="both"/>
    </w:pPr>
    <w:rPr>
      <w:rFonts w:ascii="Calibri" w:eastAsia="宋体" w:cs="Arial" w:hAnsi="Calibri"/>
      <w:kern w:val="2"/>
      <w:sz w:val="21"/>
      <w:szCs w:val="22"/>
      <w:lang w:val="en-US" w:eastAsia="zh-CN" w:bidi="ar-SA"/>
    </w:rPr>
  </w:style>
  <w:style w:type="paragraph" w:customStyle="1" w:styleId="43">
    <w:name w:val="样式 13 10 磅"/>
    <w:pPr>
      <w:widowControl w:val="0"/>
      <w:jc w:val="both"/>
    </w:pPr>
    <w:rPr>
      <w:rFonts w:ascii="Calibri" w:eastAsia="宋体" w:cs="Arial" w:hAnsi="Calibri"/>
      <w:kern w:val="2"/>
      <w:sz w:val="21"/>
      <w:szCs w:val="22"/>
      <w:lang w:val="en-US" w:eastAsia="zh-CN" w:bidi="ar-SA"/>
    </w:rPr>
  </w:style>
  <w:style w:type="paragraph" w:customStyle="1" w:styleId="44">
    <w:name w:val="样式 14 10 磅"/>
    <w:pPr>
      <w:widowControl w:val="0"/>
      <w:jc w:val="both"/>
    </w:pPr>
    <w:rPr>
      <w:rFonts w:ascii="Calibri" w:eastAsia="宋体" w:cs="Arial" w:hAnsi="Calibri"/>
      <w:kern w:val="2"/>
      <w:sz w:val="21"/>
      <w:szCs w:val="22"/>
      <w:lang w:val="en-US" w:eastAsia="zh-CN" w:bidi="ar-SA"/>
    </w:rPr>
  </w:style>
  <w:style w:type="paragraph" w:customStyle="1" w:styleId="45">
    <w:name w:val="样式 15 10 磅"/>
    <w:pPr>
      <w:widowControl w:val="0"/>
      <w:jc w:val="both"/>
    </w:pPr>
    <w:rPr>
      <w:rFonts w:ascii="Calibri" w:eastAsia="宋体" w:cs="Arial" w:hAnsi="Calibri"/>
      <w:kern w:val="2"/>
      <w:sz w:val="21"/>
      <w:szCs w:val="22"/>
      <w:lang w:val="en-US" w:eastAsia="zh-CN" w:bidi="ar-SA"/>
    </w:rPr>
  </w:style>
  <w:style w:type="paragraph" w:customStyle="1" w:styleId="46">
    <w:name w:val="样式 16 10 磅"/>
    <w:pPr>
      <w:widowControl w:val="0"/>
      <w:jc w:val="both"/>
    </w:pPr>
    <w:rPr>
      <w:rFonts w:ascii="Calibri" w:eastAsia="宋体" w:cs="Arial" w:hAnsi="Calibri"/>
      <w:kern w:val="2"/>
      <w:sz w:val="21"/>
      <w:szCs w:val="22"/>
      <w:lang w:val="en-US" w:eastAsia="zh-CN" w:bidi="ar-SA"/>
    </w:rPr>
  </w:style>
  <w:style w:type="paragraph" w:customStyle="1" w:styleId="47">
    <w:name w:val="样式 17 10 磅"/>
    <w:pPr>
      <w:widowControl w:val="0"/>
      <w:jc w:val="both"/>
    </w:pPr>
    <w:rPr>
      <w:rFonts w:ascii="Calibri" w:eastAsia="宋体" w:cs="Arial" w:hAnsi="Calibri"/>
      <w:kern w:val="2"/>
      <w:sz w:val="21"/>
      <w:szCs w:val="22"/>
      <w:lang w:val="en-US" w:eastAsia="zh-CN" w:bidi="ar-SA"/>
    </w:rPr>
  </w:style>
  <w:style w:type="paragraph" w:customStyle="1" w:styleId="48">
    <w:name w:val="样式 18 10 磅"/>
    <w:pPr>
      <w:widowControl w:val="0"/>
      <w:jc w:val="both"/>
    </w:pPr>
    <w:rPr>
      <w:rFonts w:ascii="Calibri" w:eastAsia="宋体" w:cs="Arial" w:hAnsi="Calibri"/>
      <w:kern w:val="2"/>
      <w:sz w:val="21"/>
      <w:szCs w:val="22"/>
      <w:lang w:val="en-US" w:eastAsia="zh-CN" w:bidi="ar-SA"/>
    </w:rPr>
  </w:style>
  <w:style w:type="paragraph" w:customStyle="1" w:styleId="49">
    <w:name w:val="样式 19 10 磅"/>
    <w:pPr>
      <w:widowControl w:val="0"/>
      <w:jc w:val="both"/>
    </w:pPr>
    <w:rPr>
      <w:rFonts w:ascii="Calibri" w:eastAsia="宋体" w:cs="Arial" w:hAnsi="Calibri"/>
      <w:kern w:val="2"/>
      <w:sz w:val="21"/>
      <w:szCs w:val="22"/>
      <w:lang w:val="en-US" w:eastAsia="zh-CN" w:bidi="ar-SA"/>
    </w:rPr>
  </w:style>
  <w:style w:type="paragraph" w:customStyle="1" w:styleId="50">
    <w:name w:val="样式 20 10 磅"/>
    <w:pPr>
      <w:widowControl w:val="0"/>
      <w:jc w:val="both"/>
    </w:pPr>
    <w:rPr>
      <w:rFonts w:ascii="Calibri" w:eastAsia="宋体" w:cs="Arial" w:hAnsi="Calibri"/>
      <w:kern w:val="2"/>
      <w:sz w:val="21"/>
      <w:szCs w:val="22"/>
      <w:lang w:val="en-US" w:eastAsia="zh-CN" w:bidi="ar-SA"/>
    </w:rPr>
  </w:style>
  <w:style w:type="paragraph" w:customStyle="1" w:styleId="51">
    <w:name w:val="样式 21 10 磅"/>
    <w:pPr>
      <w:widowControl w:val="0"/>
      <w:jc w:val="both"/>
    </w:pPr>
    <w:rPr>
      <w:rFonts w:ascii="Calibri" w:eastAsia="宋体" w:cs="Arial" w:hAnsi="Calibri"/>
      <w:kern w:val="2"/>
      <w:sz w:val="21"/>
      <w:szCs w:val="22"/>
      <w:lang w:val="en-US" w:eastAsia="zh-CN" w:bidi="ar-SA"/>
    </w:rPr>
  </w:style>
  <w:style w:type="paragraph" w:customStyle="1" w:styleId="52">
    <w:name w:val="样式 22 10 磅"/>
    <w:pPr>
      <w:widowControl w:val="0"/>
      <w:jc w:val="both"/>
    </w:pPr>
    <w:rPr>
      <w:rFonts w:ascii="Calibri" w:eastAsia="宋体" w:cs="Arial" w:hAnsi="Calibri"/>
      <w:kern w:val="2"/>
      <w:sz w:val="21"/>
      <w:szCs w:val="22"/>
      <w:lang w:val="en-US" w:eastAsia="zh-CN" w:bidi="ar-SA"/>
    </w:rPr>
  </w:style>
  <w:style w:type="paragraph" w:customStyle="1" w:styleId="53">
    <w:name w:val="样式 23 10 磅"/>
    <w:pPr>
      <w:widowControl w:val="0"/>
      <w:jc w:val="both"/>
    </w:pPr>
    <w:rPr>
      <w:rFonts w:ascii="Calibri" w:eastAsia="宋体" w:cs="Arial" w:hAnsi="Calibri"/>
      <w:kern w:val="2"/>
      <w:sz w:val="21"/>
      <w:szCs w:val="22"/>
      <w:lang w:val="en-US" w:eastAsia="zh-CN" w:bidi="ar-SA"/>
    </w:rPr>
  </w:style>
  <w:style w:type="paragraph" w:customStyle="1" w:styleId="54">
    <w:name w:val="样式 24 10 磅"/>
    <w:pPr>
      <w:widowControl w:val="0"/>
      <w:jc w:val="both"/>
    </w:pPr>
    <w:rPr>
      <w:rFonts w:ascii="Calibri" w:eastAsia="宋体" w:cs="Arial" w:hAnsi="Calibri"/>
      <w:kern w:val="2"/>
      <w:sz w:val="21"/>
      <w:szCs w:val="22"/>
      <w:lang w:val="en-US" w:eastAsia="zh-CN" w:bidi="ar-SA"/>
    </w:rPr>
  </w:style>
  <w:style w:type="paragraph" w:customStyle="1" w:styleId="55">
    <w:name w:val="样式 25 10 磅"/>
    <w:pPr>
      <w:widowControl w:val="0"/>
      <w:jc w:val="both"/>
    </w:pPr>
    <w:rPr>
      <w:rFonts w:ascii="Calibri" w:eastAsia="宋体" w:cs="Arial" w:hAnsi="Calibri"/>
      <w:kern w:val="2"/>
      <w:sz w:val="21"/>
      <w:szCs w:val="22"/>
      <w:lang w:val="en-US" w:eastAsia="zh-CN" w:bidi="ar-SA"/>
    </w:rPr>
  </w:style>
  <w:style w:type="paragraph" w:customStyle="1" w:styleId="56">
    <w:name w:val="样式 26 10 磅"/>
    <w:pPr>
      <w:widowControl w:val="0"/>
      <w:jc w:val="both"/>
    </w:pPr>
    <w:rPr>
      <w:rFonts w:ascii="Calibri" w:eastAsia="宋体" w:cs="Arial" w:hAnsi="Calibri"/>
      <w:kern w:val="2"/>
      <w:sz w:val="21"/>
      <w:szCs w:val="22"/>
      <w:lang w:val="en-US" w:eastAsia="zh-CN" w:bidi="ar-SA"/>
    </w:rPr>
  </w:style>
  <w:style w:type="paragraph" w:customStyle="1" w:styleId="57">
    <w:name w:val="样式 27 10 磅"/>
    <w:pPr>
      <w:widowControl w:val="0"/>
      <w:jc w:val="both"/>
    </w:pPr>
    <w:rPr>
      <w:rFonts w:ascii="Calibri" w:eastAsia="宋体" w:cs="Arial" w:hAnsi="Calibri"/>
      <w:kern w:val="2"/>
      <w:sz w:val="21"/>
      <w:szCs w:val="22"/>
      <w:lang w:val="en-US" w:eastAsia="zh-CN" w:bidi="ar-SA"/>
    </w:rPr>
  </w:style>
  <w:style w:type="paragraph" w:customStyle="1" w:styleId="58">
    <w:name w:val="样式 28 10 磅"/>
    <w:pPr>
      <w:widowControl w:val="0"/>
      <w:jc w:val="both"/>
    </w:pPr>
    <w:rPr>
      <w:rFonts w:ascii="Calibri" w:eastAsia="宋体" w:cs="Arial" w:hAnsi="Calibri"/>
      <w:kern w:val="2"/>
      <w:sz w:val="21"/>
      <w:szCs w:val="22"/>
      <w:lang w:val="en-US" w:eastAsia="zh-CN" w:bidi="ar-SA"/>
    </w:rPr>
  </w:style>
  <w:style w:type="paragraph" w:customStyle="1" w:styleId="59">
    <w:name w:val="样式 29 10 磅"/>
    <w:pPr>
      <w:widowControl w:val="0"/>
      <w:jc w:val="both"/>
    </w:pPr>
    <w:rPr>
      <w:rFonts w:ascii="Calibri" w:eastAsia="宋体" w:cs="Arial" w:hAnsi="Calibri"/>
      <w:kern w:val="2"/>
      <w:sz w:val="21"/>
      <w:szCs w:val="22"/>
      <w:lang w:val="en-US" w:eastAsia="zh-CN" w:bidi="ar-SA"/>
    </w:rPr>
  </w:style>
  <w:style w:type="paragraph" w:customStyle="1" w:styleId="60">
    <w:name w:val="样式 30 10 磅"/>
    <w:pPr>
      <w:widowControl w:val="0"/>
      <w:jc w:val="both"/>
    </w:pPr>
    <w:rPr>
      <w:rFonts w:ascii="Calibri" w:eastAsia="宋体" w:cs="Arial" w:hAnsi="Calibri"/>
      <w:kern w:val="2"/>
      <w:sz w:val="21"/>
      <w:szCs w:val="22"/>
      <w:lang w:val="en-US" w:eastAsia="zh-CN" w:bidi="ar-SA"/>
    </w:rPr>
  </w:style>
  <w:style w:type="paragraph" w:customStyle="1" w:styleId="61">
    <w:name w:val="样式 31 10 磅"/>
    <w:pPr>
      <w:widowControl w:val="0"/>
      <w:jc w:val="both"/>
    </w:pPr>
    <w:rPr>
      <w:rFonts w:ascii="Calibri" w:eastAsia="宋体" w:cs="Arial" w:hAnsi="Calibri"/>
      <w:kern w:val="2"/>
      <w:sz w:val="21"/>
      <w:szCs w:val="22"/>
      <w:lang w:val="en-US" w:eastAsia="zh-CN" w:bidi="ar-SA"/>
    </w:rPr>
  </w:style>
  <w:style w:type="paragraph" w:customStyle="1" w:styleId="62">
    <w:name w:val="样式 32 10 磅"/>
    <w:pPr>
      <w:widowControl w:val="0"/>
      <w:jc w:val="both"/>
    </w:pPr>
    <w:rPr>
      <w:rFonts w:ascii="Calibri" w:eastAsia="宋体" w:cs="Arial" w:hAnsi="Calibri"/>
      <w:kern w:val="2"/>
      <w:sz w:val="21"/>
      <w:szCs w:val="22"/>
      <w:lang w:val="en-US" w:eastAsia="zh-CN" w:bidi="ar-SA"/>
    </w:rPr>
  </w:style>
  <w:style w:type="paragraph" w:customStyle="1" w:styleId="63">
    <w:name w:val="样式 33 10 磅"/>
    <w:pPr>
      <w:widowControl w:val="0"/>
      <w:jc w:val="both"/>
    </w:pPr>
    <w:rPr>
      <w:rFonts w:ascii="Calibri" w:eastAsia="宋体" w:cs="Arial" w:hAnsi="Calibri"/>
      <w:kern w:val="2"/>
      <w:sz w:val="21"/>
      <w:szCs w:val="22"/>
      <w:lang w:val="en-US" w:eastAsia="zh-CN" w:bidi="ar-SA"/>
    </w:rPr>
  </w:style>
  <w:style w:type="paragraph" w:customStyle="1" w:styleId="64">
    <w:name w:val="样式 34 10 磅"/>
    <w:pPr>
      <w:widowControl w:val="0"/>
      <w:jc w:val="both"/>
    </w:pPr>
    <w:rPr>
      <w:rFonts w:ascii="Calibri" w:eastAsia="宋体" w:cs="Arial" w:hAnsi="Calibri"/>
      <w:kern w:val="2"/>
      <w:sz w:val="21"/>
      <w:szCs w:val="22"/>
      <w:lang w:val="en-US" w:eastAsia="zh-CN" w:bidi="ar-SA"/>
    </w:rPr>
  </w:style>
  <w:style w:type="paragraph" w:customStyle="1" w:styleId="65">
    <w:name w:val="样式 35 10 磅"/>
    <w:pPr>
      <w:widowControl w:val="0"/>
      <w:jc w:val="both"/>
    </w:pPr>
    <w:rPr>
      <w:rFonts w:ascii="Calibri" w:eastAsia="宋体" w:cs="Arial" w:hAnsi="Calibri"/>
      <w:kern w:val="2"/>
      <w:sz w:val="21"/>
      <w:szCs w:val="22"/>
      <w:lang w:val="en-US" w:eastAsia="zh-CN" w:bidi="ar-SA"/>
    </w:rPr>
  </w:style>
  <w:style w:type="paragraph" w:customStyle="1" w:styleId="66">
    <w:name w:val="样式 37 10 磅"/>
    <w:pPr>
      <w:widowControl w:val="0"/>
      <w:jc w:val="both"/>
    </w:pPr>
    <w:rPr>
      <w:rFonts w:ascii="Calibri" w:eastAsia="宋体" w:cs="Arial" w:hAnsi="Calibri"/>
      <w:kern w:val="2"/>
      <w:sz w:val="21"/>
      <w:szCs w:val="22"/>
      <w:lang w:val="en-US" w:eastAsia="zh-CN" w:bidi="ar-SA"/>
    </w:rPr>
  </w:style>
  <w:style w:type="paragraph" w:customStyle="1" w:styleId="67">
    <w:name w:val="样式 38 10 磅"/>
    <w:pPr>
      <w:widowControl w:val="0"/>
      <w:jc w:val="both"/>
    </w:pPr>
    <w:rPr>
      <w:rFonts w:ascii="Calibri" w:eastAsia="宋体" w:cs="Arial" w:hAnsi="Calibri"/>
      <w:kern w:val="2"/>
      <w:sz w:val="21"/>
      <w:szCs w:val="22"/>
      <w:lang w:val="en-US" w:eastAsia="zh-CN" w:bidi="ar-SA"/>
    </w:rPr>
  </w:style>
  <w:style w:type="paragraph" w:customStyle="1" w:styleId="68">
    <w:name w:val="样式 39 10 磅"/>
    <w:pPr>
      <w:widowControl w:val="0"/>
      <w:jc w:val="both"/>
    </w:pPr>
    <w:rPr>
      <w:rFonts w:ascii="Calibri" w:eastAsia="宋体" w:cs="Arial" w:hAnsi="Calibri"/>
      <w:kern w:val="2"/>
      <w:sz w:val="21"/>
      <w:szCs w:val="22"/>
      <w:lang w:val="en-US" w:eastAsia="zh-CN" w:bidi="ar-SA"/>
    </w:rPr>
  </w:style>
  <w:style w:type="paragraph" w:customStyle="1" w:styleId="69">
    <w:name w:val="样式 40 10 磅"/>
    <w:pPr>
      <w:widowControl w:val="0"/>
      <w:jc w:val="both"/>
    </w:pPr>
    <w:rPr>
      <w:rFonts w:ascii="Calibri" w:eastAsia="宋体" w:cs="Arial" w:hAnsi="Calibri"/>
      <w:kern w:val="2"/>
      <w:sz w:val="21"/>
      <w:szCs w:val="22"/>
      <w:lang w:val="en-US" w:eastAsia="zh-CN" w:bidi="ar-SA"/>
    </w:rPr>
  </w:style>
  <w:style w:type="paragraph" w:customStyle="1" w:styleId="70">
    <w:name w:val="样式 41 10 磅"/>
    <w:pPr>
      <w:widowControl w:val="0"/>
      <w:jc w:val="both"/>
    </w:pPr>
    <w:rPr>
      <w:rFonts w:ascii="Calibri" w:eastAsia="宋体" w:cs="Arial" w:hAnsi="Calibri"/>
      <w:kern w:val="2"/>
      <w:sz w:val="21"/>
      <w:szCs w:val="22"/>
      <w:lang w:val="en-US" w:eastAsia="zh-CN" w:bidi="ar-SA"/>
    </w:rPr>
  </w:style>
  <w:style w:type="paragraph" w:customStyle="1" w:styleId="71">
    <w:name w:val="样式 42 10 磅"/>
    <w:pPr>
      <w:widowControl w:val="0"/>
      <w:jc w:val="both"/>
    </w:pPr>
    <w:rPr>
      <w:rFonts w:ascii="Calibri" w:eastAsia="宋体" w:cs="Arial" w:hAnsi="Calibri"/>
      <w:kern w:val="2"/>
      <w:sz w:val="21"/>
      <w:szCs w:val="22"/>
      <w:lang w:val="en-US" w:eastAsia="zh-CN" w:bidi="ar-SA"/>
    </w:rPr>
  </w:style>
  <w:style w:type="paragraph" w:customStyle="1" w:styleId="72">
    <w:name w:val="样式 43 10 磅"/>
    <w:pPr>
      <w:widowControl w:val="0"/>
      <w:jc w:val="both"/>
    </w:pPr>
    <w:rPr>
      <w:rFonts w:ascii="Calibri" w:eastAsia="宋体" w:cs="Arial" w:hAnsi="Calibri"/>
      <w:kern w:val="2"/>
      <w:sz w:val="21"/>
      <w:szCs w:val="22"/>
      <w:lang w:val="en-US" w:eastAsia="zh-CN" w:bidi="ar-SA"/>
    </w:rPr>
  </w:style>
  <w:style w:type="paragraph" w:customStyle="1" w:styleId="73">
    <w:name w:val="样式 44 10 磅"/>
    <w:pPr>
      <w:widowControl w:val="0"/>
      <w:jc w:val="both"/>
    </w:pPr>
    <w:rPr>
      <w:rFonts w:ascii="Calibri" w:eastAsia="宋体" w:cs="Arial" w:hAnsi="Calibri"/>
      <w:kern w:val="2"/>
      <w:sz w:val="21"/>
      <w:szCs w:val="22"/>
      <w:lang w:val="en-US" w:eastAsia="zh-CN" w:bidi="ar-SA"/>
    </w:rPr>
  </w:style>
  <w:style w:type="paragraph" w:customStyle="1" w:styleId="74">
    <w:name w:val="样式 45 10 磅"/>
    <w:pPr>
      <w:widowControl w:val="0"/>
      <w:jc w:val="both"/>
    </w:pPr>
    <w:rPr>
      <w:rFonts w:ascii="Calibri" w:eastAsia="宋体" w:cs="Arial" w:hAnsi="Calibri"/>
      <w:kern w:val="2"/>
      <w:sz w:val="21"/>
      <w:szCs w:val="22"/>
      <w:lang w:val="en-US" w:eastAsia="zh-CN" w:bidi="ar-SA"/>
    </w:rPr>
  </w:style>
  <w:style w:type="paragraph" w:customStyle="1" w:styleId="75">
    <w:name w:val="样式 46 10 磅"/>
    <w:pPr>
      <w:widowControl w:val="0"/>
      <w:jc w:val="both"/>
    </w:pPr>
    <w:rPr>
      <w:rFonts w:ascii="Calibri" w:eastAsia="宋体" w:cs="Arial" w:hAnsi="Calibri"/>
      <w:kern w:val="2"/>
      <w:sz w:val="21"/>
      <w:szCs w:val="22"/>
      <w:lang w:val="en-US" w:eastAsia="zh-CN" w:bidi="ar-SA"/>
    </w:rPr>
  </w:style>
  <w:style w:type="paragraph" w:customStyle="1" w:styleId="76">
    <w:name w:val="样式 47 10 磅"/>
    <w:pPr>
      <w:widowControl w:val="0"/>
      <w:jc w:val="both"/>
    </w:pPr>
    <w:rPr>
      <w:rFonts w:ascii="Calibri" w:eastAsia="宋体" w:cs="Arial" w:hAnsi="Calibri"/>
      <w:kern w:val="2"/>
      <w:sz w:val="21"/>
      <w:szCs w:val="22"/>
      <w:lang w:val="en-US" w:eastAsia="zh-CN" w:bidi="ar-SA"/>
    </w:rPr>
  </w:style>
  <w:style w:type="paragraph" w:customStyle="1" w:styleId="77">
    <w:name w:val="样式 48 10 磅"/>
    <w:pPr>
      <w:widowControl w:val="0"/>
      <w:jc w:val="both"/>
    </w:pPr>
    <w:rPr>
      <w:rFonts w:ascii="Calibri" w:eastAsia="宋体" w:cs="Arial" w:hAnsi="Calibri"/>
      <w:kern w:val="2"/>
      <w:sz w:val="21"/>
      <w:szCs w:val="22"/>
      <w:lang w:val="en-US" w:eastAsia="zh-CN" w:bidi="ar-SA"/>
    </w:rPr>
  </w:style>
  <w:style w:type="paragraph" w:customStyle="1" w:styleId="78">
    <w:name w:val="样式 50 10 磅"/>
    <w:pPr>
      <w:widowControl w:val="0"/>
      <w:jc w:val="both"/>
    </w:pPr>
    <w:rPr>
      <w:rFonts w:ascii="Calibri" w:eastAsia="宋体" w:cs="Arial" w:hAnsi="Calibri"/>
      <w:kern w:val="2"/>
      <w:sz w:val="21"/>
      <w:szCs w:val="22"/>
      <w:lang w:val="en-US" w:eastAsia="zh-CN" w:bidi="ar-SA"/>
    </w:rPr>
  </w:style>
  <w:style w:type="paragraph" w:customStyle="1" w:styleId="79">
    <w:name w:val="样式 52 10 磅"/>
    <w:pPr>
      <w:widowControl w:val="0"/>
      <w:jc w:val="both"/>
    </w:pPr>
    <w:rPr>
      <w:rFonts w:ascii="Calibri" w:eastAsia="宋体" w:cs="Arial" w:hAnsi="Calibri"/>
      <w:kern w:val="2"/>
      <w:sz w:val="21"/>
      <w:szCs w:val="22"/>
      <w:lang w:val="en-US" w:eastAsia="zh-CN" w:bidi="ar-SA"/>
    </w:rPr>
  </w:style>
  <w:style w:type="paragraph" w:customStyle="1" w:styleId="80">
    <w:name w:val="样式 53 10 磅"/>
    <w:pPr>
      <w:widowControl w:val="0"/>
      <w:jc w:val="both"/>
    </w:pPr>
    <w:rPr>
      <w:rFonts w:ascii="Calibri" w:eastAsia="宋体" w:cs="Arial" w:hAnsi="Calibri"/>
      <w:kern w:val="2"/>
      <w:sz w:val="21"/>
      <w:szCs w:val="22"/>
      <w:lang w:val="en-US" w:eastAsia="zh-CN" w:bidi="ar-SA"/>
    </w:rPr>
  </w:style>
  <w:style w:type="paragraph" w:customStyle="1" w:styleId="81">
    <w:name w:val="样式 54 10 磅"/>
    <w:pPr>
      <w:widowControl w:val="0"/>
      <w:jc w:val="both"/>
    </w:pPr>
    <w:rPr>
      <w:rFonts w:ascii="Calibri" w:eastAsia="宋体" w:cs="Arial" w:hAnsi="Calibri"/>
      <w:kern w:val="2"/>
      <w:sz w:val="21"/>
      <w:szCs w:val="22"/>
      <w:lang w:val="en-US" w:eastAsia="zh-CN" w:bidi="ar-SA"/>
    </w:rPr>
  </w:style>
  <w:style w:type="paragraph" w:customStyle="1" w:styleId="82">
    <w:name w:val="样式 55 10 磅"/>
    <w:pPr>
      <w:widowControl w:val="0"/>
      <w:jc w:val="both"/>
    </w:pPr>
    <w:rPr>
      <w:rFonts w:ascii="Calibri" w:eastAsia="宋体" w:cs="Arial" w:hAnsi="Calibri"/>
      <w:kern w:val="2"/>
      <w:sz w:val="21"/>
      <w:szCs w:val="22"/>
      <w:lang w:val="en-US" w:eastAsia="zh-CN" w:bidi="ar-SA"/>
    </w:rPr>
  </w:style>
  <w:style w:type="paragraph" w:customStyle="1" w:styleId="83">
    <w:name w:val="样式 56 10 磅"/>
    <w:pPr>
      <w:widowControl w:val="0"/>
      <w:jc w:val="both"/>
    </w:pPr>
    <w:rPr>
      <w:rFonts w:ascii="Calibri" w:eastAsia="宋体" w:cs="Arial" w:hAnsi="Calibri"/>
      <w:kern w:val="2"/>
      <w:sz w:val="21"/>
      <w:szCs w:val="22"/>
      <w:lang w:val="en-US" w:eastAsia="zh-CN" w:bidi="ar-SA"/>
    </w:rPr>
  </w:style>
  <w:style w:type="paragraph" w:customStyle="1" w:styleId="84">
    <w:name w:val="样式 57 10 磅"/>
    <w:pPr>
      <w:widowControl w:val="0"/>
      <w:jc w:val="both"/>
    </w:pPr>
    <w:rPr>
      <w:rFonts w:ascii="Calibri" w:eastAsia="宋体" w:cs="Arial" w:hAnsi="Calibri"/>
      <w:kern w:val="2"/>
      <w:sz w:val="21"/>
      <w:szCs w:val="22"/>
      <w:lang w:val="en-US" w:eastAsia="zh-CN" w:bidi="ar-SA"/>
    </w:rPr>
  </w:style>
  <w:style w:type="paragraph" w:customStyle="1" w:styleId="85">
    <w:name w:val="样式 58 10 磅"/>
    <w:pPr>
      <w:widowControl w:val="0"/>
      <w:jc w:val="both"/>
    </w:pPr>
    <w:rPr>
      <w:rFonts w:ascii="Calibri" w:eastAsia="宋体" w:cs="Arial" w:hAnsi="Calibri"/>
      <w:kern w:val="2"/>
      <w:sz w:val="21"/>
      <w:szCs w:val="22"/>
      <w:lang w:val="en-US" w:eastAsia="zh-CN" w:bidi="ar-SA"/>
    </w:rPr>
  </w:style>
  <w:style w:type="paragraph" w:customStyle="1" w:styleId="86">
    <w:name w:val="样式 59 10 磅"/>
    <w:pPr>
      <w:widowControl w:val="0"/>
      <w:jc w:val="both"/>
    </w:pPr>
    <w:rPr>
      <w:rFonts w:ascii="Calibri" w:eastAsia="宋体" w:cs="Arial" w:hAnsi="Calibri"/>
      <w:kern w:val="2"/>
      <w:sz w:val="21"/>
      <w:szCs w:val="22"/>
      <w:lang w:val="en-US" w:eastAsia="zh-CN" w:bidi="ar-SA"/>
    </w:rPr>
  </w:style>
  <w:style w:type="paragraph" w:customStyle="1" w:styleId="87">
    <w:name w:val="样式 60 10 磅"/>
    <w:pPr>
      <w:widowControl w:val="0"/>
      <w:jc w:val="both"/>
    </w:pPr>
    <w:rPr>
      <w:rFonts w:ascii="Calibri" w:eastAsia="宋体" w:cs="Arial" w:hAnsi="Calibri"/>
      <w:kern w:val="2"/>
      <w:sz w:val="21"/>
      <w:szCs w:val="22"/>
      <w:lang w:val="en-US" w:eastAsia="zh-CN" w:bidi="ar-SA"/>
    </w:rPr>
  </w:style>
  <w:style w:type="paragraph" w:customStyle="1" w:styleId="88">
    <w:name w:val="样式 61 10 磅"/>
    <w:pPr>
      <w:widowControl w:val="0"/>
      <w:jc w:val="both"/>
    </w:pPr>
    <w:rPr>
      <w:rFonts w:ascii="Calibri" w:eastAsia="宋体" w:cs="Arial" w:hAnsi="Calibri"/>
      <w:kern w:val="2"/>
      <w:sz w:val="21"/>
      <w:szCs w:val="22"/>
      <w:lang w:val="en-US" w:eastAsia="zh-CN" w:bidi="ar-SA"/>
    </w:rPr>
  </w:style>
  <w:style w:type="paragraph" w:customStyle="1" w:styleId="89">
    <w:name w:val="样式 62 10 磅"/>
    <w:pPr>
      <w:widowControl w:val="0"/>
      <w:jc w:val="both"/>
    </w:pPr>
    <w:rPr>
      <w:rFonts w:ascii="Calibri" w:eastAsia="宋体" w:cs="Arial" w:hAnsi="Calibri"/>
      <w:kern w:val="2"/>
      <w:sz w:val="21"/>
      <w:szCs w:val="22"/>
      <w:lang w:val="en-US" w:eastAsia="zh-CN" w:bidi="ar-SA"/>
    </w:rPr>
  </w:style>
  <w:style w:type="paragraph" w:customStyle="1" w:styleId="90">
    <w:name w:val="样式 63 10 磅"/>
    <w:pPr>
      <w:widowControl w:val="0"/>
      <w:jc w:val="both"/>
    </w:pPr>
    <w:rPr>
      <w:rFonts w:ascii="Calibri" w:eastAsia="宋体" w:cs="Arial" w:hAnsi="Calibri"/>
      <w:kern w:val="2"/>
      <w:sz w:val="21"/>
      <w:szCs w:val="22"/>
      <w:lang w:val="en-US" w:eastAsia="zh-CN" w:bidi="ar-SA"/>
    </w:rPr>
  </w:style>
  <w:style w:type="paragraph" w:customStyle="1" w:styleId="91">
    <w:name w:val="样式 64 10 磅"/>
    <w:pPr>
      <w:widowControl w:val="0"/>
      <w:jc w:val="both"/>
    </w:pPr>
    <w:rPr>
      <w:rFonts w:ascii="Calibri" w:eastAsia="宋体" w:cs="Arial" w:hAnsi="Calibri"/>
      <w:kern w:val="2"/>
      <w:sz w:val="21"/>
      <w:szCs w:val="22"/>
      <w:lang w:val="en-US" w:eastAsia="zh-CN" w:bidi="ar-SA"/>
    </w:rPr>
  </w:style>
  <w:style w:type="paragraph" w:customStyle="1" w:styleId="92">
    <w:name w:val="样式 65 10 磅"/>
    <w:pPr>
      <w:widowControl w:val="0"/>
      <w:jc w:val="both"/>
    </w:pPr>
    <w:rPr>
      <w:rFonts w:ascii="Calibri" w:eastAsia="宋体" w:cs="Arial" w:hAnsi="Calibri"/>
      <w:kern w:val="2"/>
      <w:sz w:val="21"/>
      <w:szCs w:val="22"/>
      <w:lang w:val="en-US" w:eastAsia="zh-CN" w:bidi="ar-SA"/>
    </w:rPr>
  </w:style>
  <w:style w:type="paragraph" w:customStyle="1" w:styleId="93">
    <w:name w:val="样式 66 10 磅"/>
    <w:pPr>
      <w:widowControl w:val="0"/>
      <w:jc w:val="both"/>
    </w:pPr>
    <w:rPr>
      <w:rFonts w:ascii="Calibri" w:eastAsia="宋体" w:cs="Arial" w:hAnsi="Calibri"/>
      <w:kern w:val="2"/>
      <w:sz w:val="21"/>
      <w:szCs w:val="22"/>
      <w:lang w:val="en-US" w:eastAsia="zh-CN" w:bidi="ar-SA"/>
    </w:rPr>
  </w:style>
  <w:style w:type="paragraph" w:customStyle="1" w:styleId="94">
    <w:name w:val="样式 67 10 磅"/>
    <w:pPr>
      <w:widowControl w:val="0"/>
      <w:jc w:val="both"/>
    </w:pPr>
    <w:rPr>
      <w:rFonts w:ascii="Calibri" w:eastAsia="宋体" w:cs="Arial" w:hAnsi="Calibri"/>
      <w:kern w:val="2"/>
      <w:sz w:val="21"/>
      <w:szCs w:val="22"/>
      <w:lang w:val="en-US" w:eastAsia="zh-CN" w:bidi="ar-SA"/>
    </w:rPr>
  </w:style>
  <w:style w:type="paragraph" w:customStyle="1" w:styleId="95">
    <w:name w:val="样式 68 10 磅"/>
    <w:pPr>
      <w:widowControl w:val="0"/>
      <w:jc w:val="both"/>
    </w:pPr>
    <w:rPr>
      <w:rFonts w:ascii="Calibri" w:eastAsia="宋体" w:cs="Arial" w:hAnsi="Calibri"/>
      <w:kern w:val="2"/>
      <w:sz w:val="21"/>
      <w:szCs w:val="22"/>
      <w:lang w:val="en-US" w:eastAsia="zh-CN" w:bidi="ar-SA"/>
    </w:rPr>
  </w:style>
  <w:style w:type="paragraph" w:customStyle="1" w:styleId="96">
    <w:name w:val="样式 69 10 磅"/>
    <w:pPr>
      <w:widowControl w:val="0"/>
      <w:jc w:val="both"/>
    </w:pPr>
    <w:rPr>
      <w:rFonts w:ascii="Calibri" w:eastAsia="宋体" w:cs="Arial" w:hAnsi="Calibri"/>
      <w:kern w:val="2"/>
      <w:sz w:val="21"/>
      <w:szCs w:val="22"/>
      <w:lang w:val="en-US" w:eastAsia="zh-CN" w:bidi="ar-SA"/>
    </w:rPr>
  </w:style>
  <w:style w:type="paragraph" w:customStyle="1" w:styleId="97">
    <w:name w:val="样式 70 10 磅"/>
    <w:pPr>
      <w:widowControl w:val="0"/>
      <w:jc w:val="both"/>
    </w:pPr>
    <w:rPr>
      <w:rFonts w:ascii="Calibri" w:eastAsia="宋体" w:cs="Arial" w:hAnsi="Calibri"/>
      <w:kern w:val="2"/>
      <w:sz w:val="21"/>
      <w:szCs w:val="22"/>
      <w:lang w:val="en-US" w:eastAsia="zh-CN" w:bidi="ar-SA"/>
    </w:rPr>
  </w:style>
  <w:style w:type="paragraph" w:customStyle="1" w:styleId="98">
    <w:name w:val="样式 71 10 磅"/>
    <w:pPr>
      <w:widowControl w:val="0"/>
      <w:jc w:val="both"/>
    </w:pPr>
    <w:rPr>
      <w:rFonts w:ascii="Calibri" w:eastAsia="宋体" w:cs="Arial" w:hAnsi="Calibri"/>
      <w:kern w:val="2"/>
      <w:sz w:val="21"/>
      <w:szCs w:val="22"/>
      <w:lang w:val="en-US" w:eastAsia="zh-CN" w:bidi="ar-SA"/>
    </w:rPr>
  </w:style>
  <w:style w:type="paragraph" w:customStyle="1" w:styleId="99">
    <w:name w:val="样式 72 10 磅"/>
    <w:pPr>
      <w:widowControl w:val="0"/>
      <w:jc w:val="both"/>
    </w:pPr>
    <w:rPr>
      <w:rFonts w:ascii="Calibri" w:eastAsia="宋体" w:cs="Arial" w:hAnsi="Calibri"/>
      <w:kern w:val="2"/>
      <w:sz w:val="21"/>
      <w:szCs w:val="22"/>
      <w:lang w:val="en-US" w:eastAsia="zh-CN" w:bidi="ar-SA"/>
    </w:rPr>
  </w:style>
  <w:style w:type="paragraph" w:customStyle="1" w:styleId="100">
    <w:name w:val="样式 73 10 磅"/>
    <w:pPr>
      <w:widowControl w:val="0"/>
      <w:jc w:val="both"/>
    </w:pPr>
    <w:rPr>
      <w:rFonts w:ascii="Calibri" w:eastAsia="宋体" w:cs="Arial" w:hAnsi="Calibri"/>
      <w:kern w:val="2"/>
      <w:sz w:val="21"/>
      <w:szCs w:val="22"/>
      <w:lang w:val="en-US" w:eastAsia="zh-CN" w:bidi="ar-SA"/>
    </w:rPr>
  </w:style>
  <w:style w:type="paragraph" w:customStyle="1" w:styleId="101">
    <w:name w:val="样式 74 10 磅"/>
    <w:pPr>
      <w:widowControl w:val="0"/>
      <w:jc w:val="both"/>
    </w:pPr>
    <w:rPr>
      <w:rFonts w:ascii="Times New Roman" w:eastAsia="宋体" w:cs="Times New Roman" w:hAnsi="Times New Roman"/>
      <w:kern w:val="2"/>
      <w:sz w:val="21"/>
      <w:szCs w:val="21"/>
      <w:lang w:val="en-US" w:eastAsia="zh-CN" w:bidi="ar-SA"/>
    </w:rPr>
  </w:style>
  <w:style w:type="paragraph" w:customStyle="1" w:styleId="102">
    <w:name w:val="样式 75 10 磅"/>
    <w:pPr>
      <w:widowControl w:val="0"/>
      <w:jc w:val="both"/>
    </w:pPr>
    <w:rPr>
      <w:rFonts w:ascii="Times New Roman" w:eastAsia="宋体" w:cs="Times New Roman" w:hAnsi="Times New Roman"/>
      <w:kern w:val="2"/>
      <w:sz w:val="21"/>
      <w:szCs w:val="21"/>
      <w:lang w:val="en-US" w:eastAsia="zh-CN" w:bidi="ar-SA"/>
    </w:rPr>
  </w:style>
  <w:style w:type="paragraph" w:customStyle="1" w:styleId="103">
    <w:name w:val="样式 76 10 磅"/>
    <w:pPr>
      <w:widowControl w:val="0"/>
      <w:jc w:val="both"/>
    </w:pPr>
    <w:rPr>
      <w:rFonts w:ascii="Calibri" w:eastAsia="宋体" w:cs="Arial" w:hAnsi="Calibri"/>
      <w:kern w:val="2"/>
      <w:sz w:val="21"/>
      <w:szCs w:val="22"/>
      <w:lang w:val="en-US" w:eastAsia="zh-CN" w:bidi="ar-SA"/>
    </w:rPr>
  </w:style>
  <w:style w:type="paragraph" w:customStyle="1" w:styleId="104">
    <w:name w:val="样式 77 10 磅"/>
    <w:pPr>
      <w:widowControl w:val="0"/>
      <w:jc w:val="both"/>
    </w:pPr>
    <w:rPr>
      <w:rFonts w:ascii="Calibri" w:eastAsia="宋体" w:cs="Arial" w:hAnsi="Calibri"/>
      <w:kern w:val="2"/>
      <w:sz w:val="21"/>
      <w:szCs w:val="22"/>
      <w:lang w:val="en-US" w:eastAsia="zh-CN" w:bidi="ar-SA"/>
    </w:rPr>
  </w:style>
  <w:style w:type="paragraph" w:customStyle="1" w:styleId="105">
    <w:name w:val="样式 78 10 磅"/>
    <w:pPr>
      <w:widowControl w:val="0"/>
      <w:jc w:val="both"/>
    </w:pPr>
    <w:rPr>
      <w:rFonts w:ascii="Calibri" w:eastAsia="宋体" w:cs="Arial" w:hAnsi="Calibri"/>
      <w:kern w:val="2"/>
      <w:sz w:val="21"/>
      <w:szCs w:val="22"/>
      <w:lang w:val="en-US" w:eastAsia="zh-CN" w:bidi="ar-SA"/>
    </w:rPr>
  </w:style>
  <w:style w:type="paragraph" w:customStyle="1" w:styleId="106">
    <w:name w:val="样式 79 10 磅"/>
    <w:pPr>
      <w:widowControl w:val="0"/>
      <w:jc w:val="both"/>
    </w:pPr>
    <w:rPr>
      <w:rFonts w:ascii="Calibri" w:eastAsia="宋体" w:cs="Arial" w:hAnsi="Calibri"/>
      <w:kern w:val="2"/>
      <w:sz w:val="21"/>
      <w:szCs w:val="22"/>
      <w:lang w:val="en-US" w:eastAsia="zh-CN" w:bidi="ar-SA"/>
    </w:rPr>
  </w:style>
  <w:style w:type="paragraph" w:customStyle="1" w:styleId="107">
    <w:name w:val="样式 80 10 磅"/>
    <w:pPr>
      <w:widowControl w:val="0"/>
      <w:jc w:val="both"/>
    </w:pPr>
    <w:rPr>
      <w:rFonts w:ascii="Calibri" w:eastAsia="宋体" w:cs="Arial" w:hAnsi="Calibri"/>
      <w:kern w:val="2"/>
      <w:sz w:val="21"/>
      <w:szCs w:val="22"/>
      <w:lang w:val="en-US" w:eastAsia="zh-CN" w:bidi="ar-SA"/>
    </w:rPr>
  </w:style>
  <w:style w:type="paragraph" w:customStyle="1" w:styleId="108">
    <w:name w:val="样式 81 10 磅"/>
    <w:pPr>
      <w:widowControl w:val="0"/>
      <w:jc w:val="both"/>
    </w:pPr>
    <w:rPr>
      <w:rFonts w:ascii="Calibri" w:eastAsia="宋体" w:cs="Arial" w:hAnsi="Calibri"/>
      <w:kern w:val="2"/>
      <w:sz w:val="21"/>
      <w:szCs w:val="22"/>
      <w:lang w:val="en-US" w:eastAsia="zh-CN" w:bidi="ar-SA"/>
    </w:rPr>
  </w:style>
  <w:style w:type="paragraph" w:customStyle="1" w:styleId="109">
    <w:name w:val="样式 82 10 磅"/>
    <w:pPr>
      <w:widowControl w:val="0"/>
      <w:jc w:val="both"/>
    </w:pPr>
    <w:rPr>
      <w:rFonts w:ascii="Calibri" w:eastAsia="宋体" w:cs="Arial" w:hAnsi="Calibri"/>
      <w:kern w:val="2"/>
      <w:sz w:val="21"/>
      <w:szCs w:val="22"/>
      <w:lang w:val="en-US" w:eastAsia="zh-CN" w:bidi="ar-SA"/>
    </w:rPr>
  </w:style>
  <w:style w:type="paragraph" w:customStyle="1" w:styleId="110">
    <w:name w:val="样式 83 10 磅"/>
    <w:pPr>
      <w:widowControl w:val="0"/>
      <w:jc w:val="both"/>
    </w:pPr>
    <w:rPr>
      <w:rFonts w:ascii="Calibri" w:eastAsia="宋体" w:cs="Arial" w:hAnsi="Calibri"/>
      <w:kern w:val="2"/>
      <w:sz w:val="21"/>
      <w:szCs w:val="22"/>
      <w:lang w:val="en-US" w:eastAsia="zh-CN" w:bidi="ar-SA"/>
    </w:rPr>
  </w:style>
  <w:style w:type="paragraph" w:customStyle="1" w:styleId="111">
    <w:name w:val="样式 84 10 磅"/>
    <w:pPr>
      <w:widowControl w:val="0"/>
      <w:jc w:val="both"/>
    </w:pPr>
    <w:rPr>
      <w:rFonts w:ascii="Calibri" w:eastAsia="宋体" w:cs="Arial" w:hAnsi="Calibri"/>
      <w:kern w:val="2"/>
      <w:sz w:val="21"/>
      <w:szCs w:val="22"/>
      <w:lang w:val="en-US" w:eastAsia="zh-CN" w:bidi="ar-SA"/>
    </w:rPr>
  </w:style>
  <w:style w:type="paragraph" w:customStyle="1" w:styleId="112">
    <w:name w:val="样式 85 10 磅"/>
    <w:pPr>
      <w:widowControl w:val="0"/>
      <w:jc w:val="both"/>
    </w:pPr>
    <w:rPr>
      <w:rFonts w:ascii="Calibri" w:eastAsia="宋体" w:cs="Arial" w:hAnsi="Calibri"/>
      <w:kern w:val="2"/>
      <w:sz w:val="21"/>
      <w:szCs w:val="22"/>
      <w:lang w:val="en-US" w:eastAsia="zh-CN" w:bidi="ar-SA"/>
    </w:rPr>
  </w:style>
  <w:style w:type="paragraph" w:customStyle="1" w:styleId="113">
    <w:name w:val="样式 86 10 磅"/>
    <w:pPr>
      <w:widowControl w:val="0"/>
      <w:jc w:val="both"/>
    </w:pPr>
    <w:rPr>
      <w:rFonts w:ascii="Calibri" w:eastAsia="宋体" w:cs="Arial" w:hAnsi="Calibri"/>
      <w:kern w:val="2"/>
      <w:sz w:val="21"/>
      <w:szCs w:val="22"/>
      <w:lang w:val="en-US" w:eastAsia="zh-CN" w:bidi="ar-SA"/>
    </w:rPr>
  </w:style>
  <w:style w:type="paragraph" w:customStyle="1" w:styleId="114">
    <w:name w:val="样式 87 10 磅"/>
    <w:pPr>
      <w:widowControl w:val="0"/>
      <w:jc w:val="both"/>
    </w:pPr>
    <w:rPr>
      <w:rFonts w:ascii="Calibri" w:eastAsia="宋体" w:cs="Arial" w:hAnsi="Calibri"/>
      <w:kern w:val="2"/>
      <w:sz w:val="21"/>
      <w:szCs w:val="22"/>
      <w:lang w:val="en-US" w:eastAsia="zh-CN" w:bidi="ar-SA"/>
    </w:rPr>
  </w:style>
  <w:style w:type="paragraph" w:customStyle="1" w:styleId="115">
    <w:name w:val="样式 88 10 磅"/>
    <w:pPr>
      <w:widowControl w:val="0"/>
      <w:jc w:val="both"/>
    </w:pPr>
    <w:rPr>
      <w:rFonts w:ascii="Calibri" w:eastAsia="宋体" w:cs="Arial" w:hAnsi="Calibri"/>
      <w:kern w:val="2"/>
      <w:sz w:val="21"/>
      <w:szCs w:val="22"/>
      <w:lang w:val="en-US" w:eastAsia="zh-CN" w:bidi="ar-SA"/>
    </w:rPr>
  </w:style>
  <w:style w:type="paragraph" w:customStyle="1" w:styleId="116">
    <w:name w:val="样式 89 10 磅"/>
    <w:pPr>
      <w:widowControl w:val="0"/>
      <w:jc w:val="both"/>
    </w:pPr>
    <w:rPr>
      <w:rFonts w:ascii="Calibri" w:eastAsia="宋体" w:cs="Arial" w:hAnsi="Calibri"/>
      <w:kern w:val="2"/>
      <w:sz w:val="21"/>
      <w:szCs w:val="22"/>
      <w:lang w:val="en-US" w:eastAsia="zh-CN" w:bidi="ar-SA"/>
    </w:rPr>
  </w:style>
  <w:style w:type="paragraph" w:customStyle="1" w:styleId="117">
    <w:name w:val="样式 90 10 磅"/>
    <w:pPr>
      <w:widowControl w:val="0"/>
      <w:jc w:val="both"/>
    </w:pPr>
    <w:rPr>
      <w:rFonts w:ascii="Calibri" w:eastAsia="宋体" w:cs="Arial" w:hAnsi="Calibri"/>
      <w:kern w:val="2"/>
      <w:sz w:val="21"/>
      <w:szCs w:val="22"/>
      <w:lang w:val="en-US" w:eastAsia="zh-CN" w:bidi="ar-SA"/>
    </w:rPr>
  </w:style>
  <w:style w:type="paragraph" w:customStyle="1" w:styleId="118">
    <w:name w:val="样式 91 10 磅"/>
    <w:pPr>
      <w:widowControl w:val="0"/>
      <w:jc w:val="both"/>
    </w:pPr>
    <w:rPr>
      <w:rFonts w:ascii="Calibri" w:eastAsia="宋体" w:cs="Arial" w:hAnsi="Calibri"/>
      <w:kern w:val="2"/>
      <w:sz w:val="21"/>
      <w:szCs w:val="22"/>
      <w:lang w:val="en-US" w:eastAsia="zh-CN" w:bidi="ar-SA"/>
    </w:rPr>
  </w:style>
  <w:style w:type="paragraph" w:customStyle="1" w:styleId="119">
    <w:name w:val="样式 92 10 磅"/>
    <w:pPr>
      <w:widowControl w:val="0"/>
      <w:jc w:val="both"/>
    </w:pPr>
    <w:rPr>
      <w:rFonts w:ascii="Calibri" w:eastAsia="宋体" w:cs="Arial" w:hAnsi="Calibri"/>
      <w:kern w:val="2"/>
      <w:sz w:val="21"/>
      <w:szCs w:val="22"/>
      <w:lang w:val="en-US" w:eastAsia="zh-CN" w:bidi="ar-SA"/>
    </w:rPr>
  </w:style>
  <w:style w:type="paragraph" w:customStyle="1" w:styleId="120">
    <w:name w:val="样式 93 10 磅"/>
    <w:pPr>
      <w:widowControl w:val="0"/>
      <w:jc w:val="both"/>
    </w:pPr>
    <w:rPr>
      <w:rFonts w:ascii="Calibri" w:eastAsia="宋体" w:cs="Arial" w:hAnsi="Calibri"/>
      <w:kern w:val="2"/>
      <w:sz w:val="21"/>
      <w:szCs w:val="22"/>
      <w:lang w:val="en-US" w:eastAsia="zh-CN" w:bidi="ar-SA"/>
    </w:rPr>
  </w:style>
  <w:style w:type="paragraph" w:customStyle="1" w:styleId="121">
    <w:name w:val="样式 94 10 磅"/>
    <w:pPr>
      <w:widowControl w:val="0"/>
      <w:jc w:val="both"/>
    </w:pPr>
    <w:rPr>
      <w:rFonts w:ascii="Calibri" w:eastAsia="宋体" w:cs="Arial" w:hAnsi="Calibri"/>
      <w:kern w:val="2"/>
      <w:sz w:val="21"/>
      <w:szCs w:val="22"/>
      <w:lang w:val="en-US" w:eastAsia="zh-CN" w:bidi="ar-SA"/>
    </w:rPr>
  </w:style>
  <w:style w:type="paragraph" w:customStyle="1" w:styleId="122">
    <w:name w:val="样式 95 10 磅"/>
    <w:pPr>
      <w:widowControl w:val="0"/>
      <w:jc w:val="both"/>
    </w:pPr>
    <w:rPr>
      <w:rFonts w:ascii="Calibri" w:eastAsia="宋体" w:cs="Arial" w:hAnsi="Calibri"/>
      <w:kern w:val="2"/>
      <w:sz w:val="21"/>
      <w:szCs w:val="22"/>
      <w:lang w:val="en-US" w:eastAsia="zh-CN" w:bidi="ar-SA"/>
    </w:rPr>
  </w:style>
  <w:style w:type="paragraph" w:customStyle="1" w:styleId="123">
    <w:name w:val="样式 96 10 磅"/>
    <w:pPr>
      <w:widowControl w:val="0"/>
      <w:jc w:val="both"/>
    </w:pPr>
    <w:rPr>
      <w:rFonts w:ascii="Calibri" w:eastAsia="宋体" w:cs="Arial" w:hAnsi="Calibri"/>
      <w:kern w:val="2"/>
      <w:sz w:val="21"/>
      <w:szCs w:val="22"/>
      <w:lang w:val="en-US" w:eastAsia="zh-CN" w:bidi="ar-SA"/>
    </w:rPr>
  </w:style>
  <w:style w:type="paragraph" w:customStyle="1" w:styleId="124">
    <w:name w:val="样式 97 10 磅"/>
    <w:pPr>
      <w:widowControl w:val="0"/>
      <w:jc w:val="both"/>
    </w:pPr>
    <w:rPr>
      <w:rFonts w:ascii="Calibri" w:eastAsia="宋体" w:cs="Arial" w:hAnsi="Calibri"/>
      <w:kern w:val="2"/>
      <w:sz w:val="21"/>
      <w:szCs w:val="22"/>
      <w:lang w:val="en-US" w:eastAsia="zh-CN" w:bidi="ar-SA"/>
    </w:rPr>
  </w:style>
  <w:style w:type="paragraph" w:customStyle="1" w:styleId="125">
    <w:name w:val="样式 98 10 磅"/>
    <w:pPr>
      <w:widowControl w:val="0"/>
      <w:jc w:val="both"/>
    </w:pPr>
    <w:rPr>
      <w:rFonts w:ascii="Calibri" w:eastAsia="宋体" w:cs="Arial" w:hAnsi="Calibri"/>
      <w:kern w:val="2"/>
      <w:sz w:val="21"/>
      <w:szCs w:val="22"/>
      <w:lang w:val="en-US" w:eastAsia="zh-CN" w:bidi="ar-SA"/>
    </w:rPr>
  </w:style>
  <w:style w:type="paragraph" w:customStyle="1" w:styleId="126">
    <w:name w:val="样式 99 10 磅"/>
    <w:pPr>
      <w:widowControl w:val="0"/>
      <w:jc w:val="both"/>
    </w:pPr>
    <w:rPr>
      <w:rFonts w:ascii="Calibri" w:eastAsia="宋体" w:cs="Arial" w:hAnsi="Calibri"/>
      <w:kern w:val="2"/>
      <w:sz w:val="21"/>
      <w:szCs w:val="22"/>
      <w:lang w:val="en-US" w:eastAsia="zh-CN" w:bidi="ar-SA"/>
    </w:rPr>
  </w:style>
  <w:style w:type="paragraph" w:customStyle="1" w:styleId="127">
    <w:name w:val="样式 100 10 磅"/>
    <w:pPr>
      <w:widowControl w:val="0"/>
      <w:jc w:val="both"/>
    </w:pPr>
    <w:rPr>
      <w:rFonts w:ascii="Calibri" w:eastAsia="宋体" w:cs="Arial" w:hAnsi="Calibri"/>
      <w:kern w:val="2"/>
      <w:sz w:val="21"/>
      <w:szCs w:val="22"/>
      <w:lang w:val="en-US" w:eastAsia="zh-CN" w:bidi="ar-SA"/>
    </w:rPr>
  </w:style>
  <w:style w:type="paragraph" w:customStyle="1" w:styleId="128">
    <w:name w:val="样式 101 10 磅"/>
    <w:pPr>
      <w:widowControl w:val="0"/>
      <w:jc w:val="both"/>
    </w:pPr>
    <w:rPr>
      <w:rFonts w:ascii="Calibri" w:eastAsia="宋体" w:cs="Arial" w:hAnsi="Calibri"/>
      <w:kern w:val="2"/>
      <w:sz w:val="21"/>
      <w:szCs w:val="22"/>
      <w:lang w:val="en-US" w:eastAsia="zh-CN" w:bidi="ar-SA"/>
    </w:rPr>
  </w:style>
  <w:style w:type="paragraph" w:customStyle="1" w:styleId="129">
    <w:name w:val="样式 102 10 磅"/>
    <w:pPr>
      <w:widowControl w:val="0"/>
      <w:jc w:val="both"/>
    </w:pPr>
    <w:rPr>
      <w:rFonts w:ascii="Calibri" w:eastAsia="宋体" w:cs="Arial" w:hAnsi="Calibri"/>
      <w:kern w:val="2"/>
      <w:sz w:val="21"/>
      <w:szCs w:val="22"/>
      <w:lang w:val="en-US" w:eastAsia="zh-CN" w:bidi="ar-SA"/>
    </w:rPr>
  </w:style>
  <w:style w:type="paragraph" w:customStyle="1" w:styleId="130">
    <w:name w:val="样式 103 10 磅"/>
    <w:pPr>
      <w:widowControl w:val="0"/>
      <w:jc w:val="both"/>
    </w:pPr>
    <w:rPr>
      <w:rFonts w:ascii="Calibri" w:eastAsia="宋体" w:cs="Arial" w:hAnsi="Calibri"/>
      <w:kern w:val="2"/>
      <w:sz w:val="21"/>
      <w:szCs w:val="22"/>
      <w:lang w:val="en-US" w:eastAsia="zh-CN" w:bidi="ar-SA"/>
    </w:rPr>
  </w:style>
  <w:style w:type="paragraph" w:customStyle="1" w:styleId="131">
    <w:name w:val="样式 104 10 磅"/>
    <w:pPr>
      <w:widowControl w:val="0"/>
      <w:jc w:val="both"/>
    </w:pPr>
    <w:rPr>
      <w:rFonts w:ascii="Calibri" w:eastAsia="宋体" w:cs="Arial" w:hAnsi="Calibri"/>
      <w:kern w:val="2"/>
      <w:sz w:val="21"/>
      <w:szCs w:val="22"/>
      <w:lang w:val="en-US" w:eastAsia="zh-CN" w:bidi="ar-SA"/>
    </w:rPr>
  </w:style>
  <w:style w:type="paragraph" w:customStyle="1" w:styleId="132">
    <w:name w:val="样式 105 10 磅"/>
    <w:pPr>
      <w:widowControl w:val="0"/>
      <w:jc w:val="both"/>
    </w:pPr>
    <w:rPr>
      <w:rFonts w:ascii="Calibri" w:eastAsia="宋体" w:cs="Arial" w:hAnsi="Calibri"/>
      <w:kern w:val="2"/>
      <w:sz w:val="21"/>
      <w:szCs w:val="22"/>
      <w:lang w:val="en-US" w:eastAsia="zh-CN" w:bidi="ar-SA"/>
    </w:rPr>
  </w:style>
  <w:style w:type="paragraph" w:customStyle="1" w:styleId="133">
    <w:name w:val="样式 106 10 磅"/>
    <w:pPr>
      <w:widowControl w:val="0"/>
      <w:jc w:val="both"/>
    </w:pPr>
    <w:rPr>
      <w:rFonts w:ascii="Calibri" w:eastAsia="宋体" w:cs="Arial" w:hAnsi="Calibri"/>
      <w:kern w:val="2"/>
      <w:sz w:val="21"/>
      <w:szCs w:val="22"/>
      <w:lang w:val="en-US" w:eastAsia="zh-CN" w:bidi="ar-SA"/>
    </w:rPr>
  </w:style>
  <w:style w:type="paragraph" w:customStyle="1" w:styleId="134">
    <w:name w:val="样式 107 10 磅"/>
    <w:pPr>
      <w:widowControl w:val="0"/>
      <w:jc w:val="both"/>
    </w:pPr>
    <w:rPr>
      <w:rFonts w:ascii="Calibri" w:eastAsia="宋体" w:cs="Arial" w:hAnsi="Calibri"/>
      <w:kern w:val="2"/>
      <w:sz w:val="21"/>
      <w:szCs w:val="22"/>
      <w:lang w:val="en-US" w:eastAsia="zh-CN" w:bidi="ar-SA"/>
    </w:rPr>
  </w:style>
  <w:style w:type="paragraph" w:customStyle="1" w:styleId="135">
    <w:name w:val="样式 108 10 磅"/>
    <w:pPr>
      <w:widowControl w:val="0"/>
      <w:jc w:val="both"/>
    </w:pPr>
    <w:rPr>
      <w:rFonts w:ascii="Calibri" w:eastAsia="宋体" w:cs="Arial" w:hAnsi="Calibri"/>
      <w:kern w:val="2"/>
      <w:sz w:val="21"/>
      <w:szCs w:val="22"/>
      <w:lang w:val="en-US" w:eastAsia="zh-CN" w:bidi="ar-SA"/>
    </w:rPr>
  </w:style>
  <w:style w:type="paragraph" w:customStyle="1" w:styleId="136">
    <w:name w:val="样式 109 10 磅"/>
    <w:pPr>
      <w:widowControl w:val="0"/>
      <w:jc w:val="both"/>
    </w:pPr>
    <w:rPr>
      <w:rFonts w:ascii="Calibri" w:eastAsia="宋体" w:cs="Arial" w:hAnsi="Calibri"/>
      <w:kern w:val="2"/>
      <w:sz w:val="21"/>
      <w:szCs w:val="22"/>
      <w:lang w:val="en-US" w:eastAsia="zh-CN" w:bidi="ar-SA"/>
    </w:rPr>
  </w:style>
  <w:style w:type="paragraph" w:customStyle="1" w:styleId="137">
    <w:name w:val="样式 110 10 磅"/>
    <w:pPr>
      <w:widowControl w:val="0"/>
      <w:jc w:val="both"/>
    </w:pPr>
    <w:rPr>
      <w:rFonts w:ascii="Calibri" w:eastAsia="宋体" w:cs="Arial" w:hAnsi="Calibri"/>
      <w:kern w:val="2"/>
      <w:sz w:val="21"/>
      <w:szCs w:val="22"/>
      <w:lang w:val="en-US" w:eastAsia="zh-CN" w:bidi="ar-SA"/>
    </w:rPr>
  </w:style>
  <w:style w:type="paragraph" w:customStyle="1" w:styleId="138">
    <w:name w:val="样式 111 10 磅"/>
    <w:pPr>
      <w:widowControl w:val="0"/>
      <w:jc w:val="both"/>
    </w:pPr>
    <w:rPr>
      <w:rFonts w:ascii="Calibri" w:eastAsia="宋体" w:cs="Arial" w:hAnsi="Calibri"/>
      <w:kern w:val="2"/>
      <w:sz w:val="21"/>
      <w:szCs w:val="22"/>
      <w:lang w:val="en-US" w:eastAsia="zh-CN" w:bidi="ar-SA"/>
    </w:rPr>
  </w:style>
  <w:style w:type="paragraph" w:customStyle="1" w:styleId="139">
    <w:name w:val="样式 112 10 磅"/>
    <w:pPr>
      <w:widowControl w:val="0"/>
      <w:jc w:val="both"/>
    </w:pPr>
    <w:rPr>
      <w:rFonts w:ascii="Calibri" w:eastAsia="宋体" w:cs="Arial" w:hAnsi="Calibri"/>
      <w:kern w:val="2"/>
      <w:sz w:val="21"/>
      <w:szCs w:val="22"/>
      <w:lang w:val="en-US" w:eastAsia="zh-CN" w:bidi="ar-SA"/>
    </w:rPr>
  </w:style>
  <w:style w:type="paragraph" w:customStyle="1" w:styleId="140">
    <w:name w:val="样式 113 10 磅"/>
    <w:pPr>
      <w:widowControl w:val="0"/>
      <w:jc w:val="both"/>
    </w:pPr>
    <w:rPr>
      <w:rFonts w:ascii="Calibri" w:eastAsia="宋体" w:cs="Arial" w:hAnsi="Calibri"/>
      <w:kern w:val="2"/>
      <w:sz w:val="21"/>
      <w:szCs w:val="22"/>
      <w:lang w:val="en-US" w:eastAsia="zh-CN" w:bidi="ar-SA"/>
    </w:rPr>
  </w:style>
  <w:style w:type="paragraph" w:customStyle="1" w:styleId="141">
    <w:name w:val="样式 114 10 磅"/>
    <w:pPr>
      <w:widowControl w:val="0"/>
      <w:jc w:val="both"/>
    </w:pPr>
    <w:rPr>
      <w:rFonts w:ascii="Calibri" w:eastAsia="宋体" w:cs="Arial" w:hAnsi="Calibri"/>
      <w:kern w:val="2"/>
      <w:sz w:val="21"/>
      <w:szCs w:val="22"/>
      <w:lang w:val="en-US" w:eastAsia="zh-CN" w:bidi="ar-SA"/>
    </w:rPr>
  </w:style>
  <w:style w:type="paragraph" w:customStyle="1" w:styleId="142">
    <w:name w:val="样式 115 10 磅"/>
    <w:pPr>
      <w:widowControl w:val="0"/>
      <w:jc w:val="both"/>
    </w:pPr>
    <w:rPr>
      <w:rFonts w:ascii="Calibri" w:eastAsia="宋体" w:cs="Arial" w:hAnsi="Calibri"/>
      <w:kern w:val="2"/>
      <w:sz w:val="21"/>
      <w:szCs w:val="22"/>
      <w:lang w:val="en-US" w:eastAsia="zh-CN" w:bidi="ar-SA"/>
    </w:rPr>
  </w:style>
  <w:style w:type="paragraph" w:customStyle="1" w:styleId="143">
    <w:name w:val="样式 116 10 磅"/>
    <w:pPr>
      <w:widowControl w:val="0"/>
      <w:jc w:val="both"/>
    </w:pPr>
    <w:rPr>
      <w:rFonts w:ascii="Calibri" w:eastAsia="宋体" w:cs="Arial" w:hAnsi="Calibri"/>
      <w:kern w:val="2"/>
      <w:sz w:val="21"/>
      <w:szCs w:val="22"/>
      <w:lang w:val="en-US" w:eastAsia="zh-CN" w:bidi="ar-SA"/>
    </w:rPr>
  </w:style>
  <w:style w:type="paragraph" w:customStyle="1" w:styleId="144">
    <w:name w:val="样式 117 10 磅"/>
    <w:pPr>
      <w:widowControl w:val="0"/>
      <w:jc w:val="both"/>
    </w:pPr>
    <w:rPr>
      <w:rFonts w:ascii="Calibri" w:eastAsia="宋体" w:cs="Arial" w:hAnsi="Calibri"/>
      <w:kern w:val="2"/>
      <w:sz w:val="21"/>
      <w:szCs w:val="22"/>
      <w:lang w:val="en-US" w:eastAsia="zh-CN" w:bidi="ar-SA"/>
    </w:rPr>
  </w:style>
  <w:style w:type="paragraph" w:customStyle="1" w:styleId="145">
    <w:name w:val="样式 118 10 磅"/>
    <w:pPr>
      <w:widowControl w:val="0"/>
      <w:jc w:val="both"/>
    </w:pPr>
    <w:rPr>
      <w:rFonts w:ascii="Calibri" w:eastAsia="宋体" w:cs="Arial" w:hAnsi="Calibri"/>
      <w:kern w:val="2"/>
      <w:sz w:val="21"/>
      <w:szCs w:val="22"/>
      <w:lang w:val="en-US" w:eastAsia="zh-CN" w:bidi="ar-SA"/>
    </w:rPr>
  </w:style>
  <w:style w:type="paragraph" w:customStyle="1" w:styleId="146">
    <w:name w:val="样式 119 10 磅"/>
    <w:pPr>
      <w:widowControl w:val="0"/>
      <w:jc w:val="both"/>
    </w:pPr>
    <w:rPr>
      <w:rFonts w:ascii="Calibri" w:eastAsia="宋体" w:cs="Arial" w:hAnsi="Calibri"/>
      <w:kern w:val="2"/>
      <w:sz w:val="21"/>
      <w:szCs w:val="22"/>
      <w:lang w:val="en-US" w:eastAsia="zh-CN" w:bidi="ar-SA"/>
    </w:rPr>
  </w:style>
  <w:style w:type="paragraph" w:customStyle="1" w:styleId="147">
    <w:name w:val="样式 120 10 磅"/>
    <w:pPr>
      <w:widowControl w:val="0"/>
      <w:jc w:val="both"/>
    </w:pPr>
    <w:rPr>
      <w:rFonts w:ascii="Calibri" w:eastAsia="宋体" w:cs="Arial" w:hAnsi="Calibri"/>
      <w:kern w:val="2"/>
      <w:sz w:val="21"/>
      <w:szCs w:val="22"/>
      <w:lang w:val="en-US" w:eastAsia="zh-CN" w:bidi="ar-SA"/>
    </w:rPr>
  </w:style>
  <w:style w:type="paragraph" w:customStyle="1" w:styleId="148">
    <w:name w:val="样式 121 10 磅"/>
    <w:pPr>
      <w:widowControl w:val="0"/>
      <w:jc w:val="both"/>
    </w:pPr>
    <w:rPr>
      <w:rFonts w:ascii="Calibri" w:eastAsia="宋体" w:cs="Arial" w:hAnsi="Calibri"/>
      <w:kern w:val="2"/>
      <w:sz w:val="21"/>
      <w:szCs w:val="22"/>
      <w:lang w:val="en-US" w:eastAsia="zh-CN" w:bidi="ar-SA"/>
    </w:rPr>
  </w:style>
  <w:style w:type="paragraph" w:customStyle="1" w:styleId="149">
    <w:name w:val="样式 122 10 磅"/>
    <w:pPr>
      <w:widowControl w:val="0"/>
      <w:jc w:val="both"/>
    </w:pPr>
    <w:rPr>
      <w:rFonts w:ascii="Calibri" w:eastAsia="宋体" w:cs="Arial" w:hAnsi="Calibri"/>
      <w:kern w:val="2"/>
      <w:sz w:val="21"/>
      <w:szCs w:val="22"/>
      <w:lang w:val="en-US" w:eastAsia="zh-CN" w:bidi="ar-SA"/>
    </w:rPr>
  </w:style>
  <w:style w:type="paragraph" w:customStyle="1" w:styleId="150">
    <w:name w:val="样式 123 10 磅"/>
    <w:pPr>
      <w:widowControl w:val="0"/>
      <w:jc w:val="both"/>
    </w:pPr>
    <w:rPr>
      <w:rFonts w:ascii="Calibri" w:eastAsia="宋体" w:cs="Arial" w:hAnsi="Calibri"/>
      <w:kern w:val="2"/>
      <w:sz w:val="21"/>
      <w:szCs w:val="22"/>
      <w:lang w:val="en-US" w:eastAsia="zh-CN" w:bidi="ar-SA"/>
    </w:rPr>
  </w:style>
  <w:style w:type="paragraph" w:customStyle="1" w:styleId="151">
    <w:name w:val="样式 124 10 磅"/>
    <w:pPr>
      <w:widowControl w:val="0"/>
      <w:jc w:val="both"/>
    </w:pPr>
    <w:rPr>
      <w:rFonts w:ascii="Calibri" w:eastAsia="宋体" w:cs="Arial" w:hAnsi="Calibri"/>
      <w:kern w:val="2"/>
      <w:sz w:val="21"/>
      <w:szCs w:val="22"/>
      <w:lang w:val="en-US" w:eastAsia="zh-CN" w:bidi="ar-SA"/>
    </w:rPr>
  </w:style>
  <w:style w:type="paragraph" w:customStyle="1" w:styleId="152">
    <w:name w:val="样式 125 10 磅"/>
    <w:pPr>
      <w:widowControl w:val="0"/>
      <w:jc w:val="both"/>
    </w:pPr>
    <w:rPr>
      <w:rFonts w:ascii="Calibri" w:eastAsia="宋体" w:cs="Arial" w:hAnsi="Calibri"/>
      <w:kern w:val="2"/>
      <w:sz w:val="21"/>
      <w:szCs w:val="22"/>
      <w:lang w:val="en-US" w:eastAsia="zh-CN" w:bidi="ar-SA"/>
    </w:rPr>
  </w:style>
  <w:style w:type="paragraph" w:customStyle="1" w:styleId="153">
    <w:name w:val="样式 126 10 磅"/>
    <w:pPr>
      <w:widowControl w:val="0"/>
      <w:jc w:val="both"/>
    </w:pPr>
    <w:rPr>
      <w:rFonts w:ascii="Calibri" w:eastAsia="宋体" w:cs="Arial" w:hAnsi="Calibri"/>
      <w:kern w:val="2"/>
      <w:sz w:val="21"/>
      <w:szCs w:val="22"/>
      <w:lang w:val="en-US" w:eastAsia="zh-CN" w:bidi="ar-SA"/>
    </w:rPr>
  </w:style>
  <w:style w:type="paragraph" w:customStyle="1" w:styleId="154">
    <w:name w:val="样式 127 10 磅"/>
    <w:pPr>
      <w:widowControl w:val="0"/>
      <w:jc w:val="both"/>
    </w:pPr>
    <w:rPr>
      <w:rFonts w:ascii="Calibri" w:eastAsia="宋体" w:cs="Arial" w:hAnsi="Calibri"/>
      <w:kern w:val="2"/>
      <w:sz w:val="21"/>
      <w:szCs w:val="22"/>
      <w:lang w:val="en-US" w:eastAsia="zh-CN" w:bidi="ar-SA"/>
    </w:rPr>
  </w:style>
  <w:style w:type="paragraph" w:customStyle="1" w:styleId="155">
    <w:name w:val="样式 128 10 磅"/>
    <w:pPr>
      <w:widowControl w:val="0"/>
      <w:jc w:val="both"/>
    </w:pPr>
    <w:rPr>
      <w:rFonts w:ascii="Calibri" w:eastAsia="宋体" w:cs="Arial" w:hAnsi="Calibri"/>
      <w:kern w:val="2"/>
      <w:sz w:val="21"/>
      <w:szCs w:val="22"/>
      <w:lang w:val="en-US" w:eastAsia="zh-CN" w:bidi="ar-SA"/>
    </w:rPr>
  </w:style>
  <w:style w:type="paragraph" w:customStyle="1" w:styleId="156">
    <w:name w:val="样式 129 10 磅"/>
    <w:pPr>
      <w:widowControl w:val="0"/>
      <w:jc w:val="both"/>
    </w:pPr>
    <w:rPr>
      <w:rFonts w:ascii="Calibri" w:eastAsia="宋体" w:cs="Arial" w:hAnsi="Calibri"/>
      <w:kern w:val="2"/>
      <w:sz w:val="21"/>
      <w:szCs w:val="22"/>
      <w:lang w:val="en-US" w:eastAsia="zh-CN" w:bidi="ar-SA"/>
    </w:rPr>
  </w:style>
  <w:style w:type="paragraph" w:customStyle="1" w:styleId="157">
    <w:name w:val="样式 130 10 磅"/>
    <w:pPr>
      <w:widowControl w:val="0"/>
      <w:jc w:val="both"/>
    </w:pPr>
    <w:rPr>
      <w:rFonts w:ascii="Calibri" w:eastAsia="宋体" w:cs="Arial" w:hAnsi="Calibri"/>
      <w:kern w:val="2"/>
      <w:sz w:val="21"/>
      <w:szCs w:val="22"/>
      <w:lang w:val="en-US" w:eastAsia="zh-CN" w:bidi="ar-SA"/>
    </w:rPr>
  </w:style>
  <w:style w:type="paragraph" w:customStyle="1" w:styleId="158">
    <w:name w:val="样式 131 10 磅"/>
    <w:pPr>
      <w:widowControl w:val="0"/>
      <w:jc w:val="both"/>
    </w:pPr>
    <w:rPr>
      <w:rFonts w:ascii="Calibri" w:eastAsia="宋体" w:cs="Arial" w:hAnsi="Calibri"/>
      <w:kern w:val="2"/>
      <w:sz w:val="21"/>
      <w:szCs w:val="22"/>
      <w:lang w:val="en-US" w:eastAsia="zh-CN" w:bidi="ar-SA"/>
    </w:rPr>
  </w:style>
  <w:style w:type="paragraph" w:customStyle="1" w:styleId="159">
    <w:name w:val="样式 132 10 磅"/>
    <w:pPr>
      <w:widowControl w:val="0"/>
      <w:jc w:val="both"/>
    </w:pPr>
    <w:rPr>
      <w:rFonts w:ascii="Calibri" w:eastAsia="宋体" w:cs="Arial" w:hAnsi="Calibri"/>
      <w:kern w:val="2"/>
      <w:sz w:val="21"/>
      <w:szCs w:val="22"/>
      <w:lang w:val="en-US" w:eastAsia="zh-CN" w:bidi="ar-SA"/>
    </w:rPr>
  </w:style>
  <w:style w:type="paragraph" w:customStyle="1" w:styleId="160">
    <w:name w:val="样式 133 10 磅"/>
    <w:pPr>
      <w:widowControl w:val="0"/>
      <w:jc w:val="both"/>
    </w:pPr>
    <w:rPr>
      <w:rFonts w:ascii="Calibri" w:eastAsia="宋体" w:cs="Arial" w:hAnsi="Calibri"/>
      <w:kern w:val="2"/>
      <w:sz w:val="21"/>
      <w:szCs w:val="22"/>
      <w:lang w:val="en-US" w:eastAsia="zh-CN" w:bidi="ar-SA"/>
    </w:rPr>
  </w:style>
  <w:style w:type="paragraph" w:customStyle="1" w:styleId="161">
    <w:name w:val="样式 134 10 磅"/>
    <w:pPr>
      <w:widowControl w:val="0"/>
      <w:jc w:val="both"/>
    </w:pPr>
    <w:rPr>
      <w:rFonts w:ascii="Calibri" w:eastAsia="宋体" w:cs="Arial" w:hAnsi="Calibri"/>
      <w:kern w:val="2"/>
      <w:sz w:val="21"/>
      <w:szCs w:val="22"/>
      <w:lang w:val="en-US" w:eastAsia="zh-CN" w:bidi="ar-SA"/>
    </w:rPr>
  </w:style>
  <w:style w:type="paragraph" w:customStyle="1" w:styleId="162">
    <w:name w:val="样式 135 10 磅"/>
    <w:pPr>
      <w:widowControl w:val="0"/>
      <w:jc w:val="both"/>
    </w:pPr>
    <w:rPr>
      <w:rFonts w:ascii="Calibri" w:eastAsia="宋体" w:cs="Arial" w:hAnsi="Calibri"/>
      <w:kern w:val="2"/>
      <w:sz w:val="21"/>
      <w:szCs w:val="22"/>
      <w:lang w:val="en-US" w:eastAsia="zh-CN" w:bidi="ar-SA"/>
    </w:rPr>
  </w:style>
  <w:style w:type="paragraph" w:customStyle="1" w:styleId="163">
    <w:name w:val="样式 136 10 磅"/>
    <w:pPr>
      <w:widowControl w:val="0"/>
      <w:jc w:val="both"/>
    </w:pPr>
    <w:rPr>
      <w:rFonts w:ascii="Calibri" w:eastAsia="宋体" w:cs="Arial" w:hAnsi="Calibri"/>
      <w:kern w:val="2"/>
      <w:sz w:val="21"/>
      <w:szCs w:val="22"/>
      <w:lang w:val="en-US" w:eastAsia="zh-CN" w:bidi="ar-SA"/>
    </w:rPr>
  </w:style>
  <w:style w:type="paragraph" w:customStyle="1" w:styleId="164">
    <w:name w:val="样式 137 10 磅"/>
    <w:pPr>
      <w:widowControl w:val="0"/>
      <w:jc w:val="both"/>
    </w:pPr>
    <w:rPr>
      <w:rFonts w:ascii="Calibri" w:eastAsia="宋体" w:cs="Arial" w:hAnsi="Calibri"/>
      <w:kern w:val="2"/>
      <w:sz w:val="21"/>
      <w:szCs w:val="22"/>
      <w:lang w:val="en-US" w:eastAsia="zh-CN" w:bidi="ar-SA"/>
    </w:rPr>
  </w:style>
  <w:style w:type="paragraph" w:customStyle="1" w:styleId="165">
    <w:name w:val="样式 138 10 磅"/>
    <w:pPr>
      <w:widowControl w:val="0"/>
      <w:jc w:val="both"/>
    </w:pPr>
    <w:rPr>
      <w:rFonts w:ascii="Calibri" w:eastAsia="宋体" w:cs="Arial" w:hAnsi="Calibri"/>
      <w:kern w:val="2"/>
      <w:sz w:val="21"/>
      <w:szCs w:val="22"/>
      <w:lang w:val="en-US" w:eastAsia="zh-CN" w:bidi="ar-SA"/>
    </w:rPr>
  </w:style>
  <w:style w:type="paragraph" w:customStyle="1" w:styleId="166">
    <w:name w:val="样式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167">
    <w:name w:val="样式 139 10 磅"/>
    <w:pPr>
      <w:widowControl w:val="0"/>
      <w:jc w:val="both"/>
    </w:pPr>
    <w:rPr>
      <w:rFonts w:ascii="Calibri" w:eastAsia="宋体" w:cs="Arial" w:hAnsi="Calibri"/>
      <w:kern w:val="2"/>
      <w:sz w:val="21"/>
      <w:szCs w:val="22"/>
      <w:lang w:val="en-US" w:eastAsia="zh-CN" w:bidi="ar-SA"/>
    </w:rPr>
  </w:style>
  <w:style w:type="paragraph" w:customStyle="1" w:styleId="168">
    <w:name w:val="样式 140 10 磅"/>
    <w:pPr>
      <w:widowControl w:val="0"/>
      <w:jc w:val="both"/>
    </w:pPr>
    <w:rPr>
      <w:rFonts w:ascii="Calibri" w:eastAsia="宋体" w:cs="Arial" w:hAnsi="Calibri"/>
      <w:kern w:val="2"/>
      <w:sz w:val="21"/>
      <w:szCs w:val="22"/>
      <w:lang w:val="en-US" w:eastAsia="zh-CN" w:bidi="ar-SA"/>
    </w:rPr>
  </w:style>
  <w:style w:type="paragraph" w:customStyle="1" w:styleId="169">
    <w:name w:val="样式 141 10 磅"/>
    <w:pPr>
      <w:widowControl w:val="0"/>
      <w:jc w:val="both"/>
    </w:pPr>
    <w:rPr>
      <w:rFonts w:ascii="Calibri" w:eastAsia="宋体" w:cs="Arial" w:hAnsi="Calibri"/>
      <w:kern w:val="2"/>
      <w:sz w:val="21"/>
      <w:szCs w:val="22"/>
      <w:lang w:val="en-US" w:eastAsia="zh-CN" w:bidi="ar-SA"/>
    </w:rPr>
  </w:style>
  <w:style w:type="paragraph" w:customStyle="1" w:styleId="170">
    <w:name w:val="样式 142 10 磅"/>
    <w:pPr>
      <w:widowControl w:val="0"/>
      <w:jc w:val="both"/>
    </w:pPr>
    <w:rPr>
      <w:rFonts w:ascii="Calibri" w:eastAsia="宋体" w:cs="Arial" w:hAnsi="Calibri"/>
      <w:kern w:val="2"/>
      <w:sz w:val="21"/>
      <w:szCs w:val="22"/>
      <w:lang w:val="en-US" w:eastAsia="zh-CN" w:bidi="ar-SA"/>
    </w:rPr>
  </w:style>
  <w:style w:type="paragraph" w:customStyle="1" w:styleId="171">
    <w:name w:val="样式 143 10 磅"/>
    <w:pPr>
      <w:widowControl w:val="0"/>
      <w:jc w:val="both"/>
    </w:pPr>
    <w:rPr>
      <w:rFonts w:ascii="Calibri" w:eastAsia="宋体" w:cs="Arial" w:hAnsi="Calibri"/>
      <w:kern w:val="2"/>
      <w:sz w:val="21"/>
      <w:szCs w:val="22"/>
      <w:lang w:val="en-US" w:eastAsia="zh-CN" w:bidi="ar-SA"/>
    </w:rPr>
  </w:style>
  <w:style w:type="paragraph" w:customStyle="1" w:styleId="172">
    <w:name w:val="样式 144 10 磅"/>
    <w:pPr>
      <w:widowControl w:val="0"/>
      <w:jc w:val="both"/>
    </w:pPr>
    <w:rPr>
      <w:rFonts w:ascii="Calibri" w:eastAsia="宋体" w:cs="Arial" w:hAnsi="Calibri"/>
      <w:kern w:val="2"/>
      <w:sz w:val="21"/>
      <w:szCs w:val="22"/>
      <w:lang w:val="en-US" w:eastAsia="zh-CN" w:bidi="ar-SA"/>
    </w:rPr>
  </w:style>
  <w:style w:type="paragraph" w:customStyle="1" w:styleId="173">
    <w:name w:val="样式 145 10 磅"/>
    <w:pPr>
      <w:widowControl w:val="0"/>
      <w:jc w:val="both"/>
    </w:pPr>
    <w:rPr>
      <w:rFonts w:ascii="Times New Roman" w:eastAsia="宋体" w:cs="Times New Roman" w:hAnsi="Times New Roman"/>
      <w:kern w:val="2"/>
      <w:sz w:val="21"/>
      <w:szCs w:val="21"/>
      <w:lang w:val="en-US" w:eastAsia="zh-CN" w:bidi="ar-SA"/>
    </w:rPr>
  </w:style>
  <w:style w:type="paragraph" w:customStyle="1" w:styleId="174">
    <w:name w:val="样式 146 10 磅"/>
    <w:pPr>
      <w:widowControl w:val="0"/>
      <w:jc w:val="both"/>
    </w:pPr>
    <w:rPr>
      <w:rFonts w:ascii="Times New Roman" w:eastAsia="宋体" w:cs="Times New Roman" w:hAnsi="Times New Roman"/>
      <w:kern w:val="2"/>
      <w:sz w:val="21"/>
      <w:szCs w:val="21"/>
      <w:lang w:val="en-US" w:eastAsia="zh-CN" w:bidi="ar-SA"/>
    </w:rPr>
  </w:style>
  <w:style w:type="paragraph" w:customStyle="1" w:styleId="278">
    <w:name w:val="样式 11 小四"/>
    <w:next w:val="106"/>
    <w:rPr>
      <w:rFonts w:ascii="Times New Roman" w:eastAsia="宋体" w:cs="Times New Roman" w:hAnsi="Times New Roman"/>
      <w:sz w:val="24"/>
      <w:szCs w:val="24"/>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footer" Target="footer2.xml"/><Relationship Id="rId5" Type="http://schemas.openxmlformats.org/officeDocument/2006/relationships/image" Target="media/5.png"/><Relationship Id="rId6" Type="http://schemas.openxmlformats.org/officeDocument/2006/relationships/oleObject" Target="embeddings/oleObject1.bin"/><Relationship Id="rId7" Type="http://schemas.openxmlformats.org/officeDocument/2006/relationships/image" Target="media/7.png"/><Relationship Id="rId8" Type="http://schemas.openxmlformats.org/officeDocument/2006/relationships/oleObject" Target="embeddings/oleObject2.bin"/><Relationship Id="rId9" Type="http://schemas.openxmlformats.org/officeDocument/2006/relationships/image" Target="media/9.png"/><Relationship Id="rId10" Type="http://schemas.openxmlformats.org/officeDocument/2006/relationships/oleObject" Target="embeddings/oleObject3.bin"/><Relationship Id="rId11" Type="http://schemas.openxmlformats.org/officeDocument/2006/relationships/image" Target="media/11.png"/><Relationship Id="rId12" Type="http://schemas.openxmlformats.org/officeDocument/2006/relationships/oleObject" Target="embeddings/oleObject4.bin"/><Relationship Id="rId13" Type="http://schemas.openxmlformats.org/officeDocument/2006/relationships/styles" Target="styles.xml"/><Relationship Id="rId14" Type="http://schemas.openxmlformats.org/officeDocument/2006/relationships/fontTable" Target="fontTable.xml"/></Relationships>
</file>

<file path=docProps/app.xml><?xml version="1.0" encoding="utf-8"?>
<Properties xmlns="http://schemas.openxmlformats.org/officeDocument/2006/extended-properties">
  <Template>Normal.eit</Template>
  <TotalTime>5672</TotalTime>
  <Application>Yozo_Office</Application>
  <Pages>37</Pages>
  <Words>8738</Words>
  <Characters>11149</Characters>
  <Lines>1772</Lines>
  <Paragraphs>1080</Paragraphs>
  <CharactersWithSpaces>11346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刘正勐</cp:lastModifiedBy>
  <cp:revision>42</cp:revision>
  <dcterms:created xsi:type="dcterms:W3CDTF">2023-03-22T01:35:00Z</dcterms:created>
  <dcterms:modified xsi:type="dcterms:W3CDTF">2024-05-08T08:46:29Z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