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bmp" ContentType="image/bmp"/>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滨州海关部门预算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6</w:t>
      </w:r>
      <w:r>
        <w:rPr>
          <w:rFonts w:ascii="Times New Roman" w:hAnsi="Times New Roman" w:hint="eastAsia"/>
          <w:sz w:val="44"/>
          <w:szCs w:val="44"/>
        </w:rPr>
        <w:t>年</w:t>
      </w:r>
    </w:p>
    <w:p>
      <w:pPr>
        <w:jc w:val="center"/>
        <w:rPr>
          <w:rFonts w:ascii="Times New Roman" w:hAnsi="Times New Roman"/>
          <w:sz w:val="44"/>
          <w:szCs w:val="4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footerReference w:type="even" r:id="rId2"/>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jc w:val="left"/>
        <w:rPr>
          <w:b/>
          <w:sz w:val="44"/>
          <w:szCs w:val="44"/>
        </w:rPr>
      </w:pPr>
      <w:r>
        <w:rPr>
          <w:rFonts w:ascii="宋体" w:hint="eastAsia"/>
          <w:b/>
          <w:sz w:val="44"/>
          <w:szCs w:val="44"/>
        </w:rPr>
        <w:t>第一部分</w:t>
      </w:r>
      <w:r>
        <w:rPr>
          <w:rFonts w:hint="eastAsia"/>
          <w:b/>
          <w:sz w:val="44"/>
          <w:szCs w:val="44"/>
        </w:rPr>
        <w:t xml:space="preserve">  滨州</w:t>
      </w:r>
      <w:r>
        <w:rPr>
          <w:rFonts w:ascii="宋体" w:hint="eastAsia"/>
          <w:b/>
          <w:sz w:val="44"/>
          <w:szCs w:val="44"/>
        </w:rPr>
        <w:t>海关部门概况</w:t>
      </w:r>
    </w:p>
    <w:p>
      <w:pPr>
        <w:jc w:val="left"/>
        <w:rPr>
          <w:sz w:val="36"/>
          <w:szCs w:val="36"/>
        </w:rPr>
      </w:pPr>
      <w:r>
        <w:rPr>
          <w:rFonts w:ascii="宋体" w:hint="eastAsia"/>
          <w:sz w:val="36"/>
          <w:szCs w:val="36"/>
        </w:rPr>
        <w:t>一、主要职能</w:t>
      </w:r>
    </w:p>
    <w:p>
      <w:pPr>
        <w:jc w:val="left"/>
        <w:rPr>
          <w:sz w:val="36"/>
          <w:szCs w:val="36"/>
        </w:rPr>
      </w:pPr>
      <w:r>
        <w:rPr>
          <w:rFonts w:ascii="宋体" w:hint="eastAsia"/>
          <w:sz w:val="36"/>
          <w:szCs w:val="36"/>
        </w:rPr>
        <w:t>二、滨州海关单位构成情况</w:t>
      </w:r>
      <w:r>
        <w:rPr>
          <w:rFonts w:hint="eastAsia"/>
          <w:sz w:val="36"/>
          <w:szCs w:val="36"/>
        </w:rPr>
        <w:t xml:space="preserve"> </w:t>
      </w:r>
    </w:p>
    <w:p>
      <w:pPr>
        <w:jc w:val="left"/>
        <w:rPr>
          <w:rFonts w:ascii="Times New Roman" w:cs="Times New Roman" w:hAnsi="Times New Roman"/>
          <w:b/>
          <w:sz w:val="44"/>
          <w:szCs w:val="44"/>
        </w:rPr>
      </w:pPr>
      <w:r>
        <w:rPr>
          <w:rFonts w:ascii="宋体" w:hint="eastAsia"/>
          <w:b/>
          <w:sz w:val="44"/>
          <w:szCs w:val="44"/>
        </w:rPr>
        <w:t>第二部分</w:t>
      </w:r>
      <w:r>
        <w:rPr>
          <w:rFonts w:hint="eastAsia"/>
          <w:b/>
          <w:sz w:val="44"/>
          <w:szCs w:val="44"/>
        </w:rPr>
        <w:t xml:space="preserve">  滨州</w:t>
      </w:r>
      <w:r>
        <w:rPr>
          <w:rFonts w:ascii="Times New Roman" w:cs="Times New Roman" w:hAnsi="Times New Roman"/>
          <w:b/>
          <w:sz w:val="44"/>
          <w:szCs w:val="44"/>
        </w:rPr>
        <w:t>海关2026年部门预算表</w:t>
      </w:r>
    </w:p>
    <w:p>
      <w:pPr>
        <w:jc w:val="left"/>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32"/>
        <w:jc w:val="left"/>
        <w:rPr>
          <w:sz w:val="36"/>
          <w:szCs w:val="36"/>
        </w:rPr>
      </w:pPr>
      <w:r>
        <w:rPr>
          <w:rFonts w:ascii="宋体" w:hint="eastAsia"/>
          <w:sz w:val="36"/>
          <w:szCs w:val="36"/>
        </w:rPr>
        <w:t>二、部门收入总表</w:t>
      </w:r>
    </w:p>
    <w:p>
      <w:pPr>
        <w:pStyle w:val="31"/>
        <w:jc w:val="left"/>
        <w:rPr>
          <w:sz w:val="36"/>
          <w:szCs w:val="36"/>
        </w:rPr>
      </w:pPr>
      <w:r>
        <w:rPr>
          <w:rFonts w:ascii="宋体" w:hint="eastAsia"/>
          <w:sz w:val="36"/>
          <w:szCs w:val="36"/>
        </w:rPr>
        <w:t>三、部门支出总表</w:t>
      </w:r>
    </w:p>
    <w:p>
      <w:pPr>
        <w:jc w:val="left"/>
        <w:rPr>
          <w:sz w:val="36"/>
          <w:szCs w:val="36"/>
        </w:rPr>
      </w:pPr>
      <w:r>
        <w:rPr>
          <w:rFonts w:ascii="宋体" w:hint="eastAsia"/>
          <w:sz w:val="36"/>
          <w:szCs w:val="36"/>
        </w:rPr>
        <w:t>四、</w:t>
      </w:r>
      <w:r>
        <w:rPr>
          <w:rFonts w:ascii="宋体"/>
          <w:sz w:val="36"/>
          <w:szCs w:val="36"/>
        </w:rPr>
        <w:t>财政拨款收支总表</w:t>
      </w:r>
    </w:p>
    <w:p>
      <w:pPr>
        <w:jc w:val="left"/>
        <w:rPr>
          <w:sz w:val="36"/>
          <w:szCs w:val="36"/>
        </w:rPr>
      </w:pPr>
      <w:r>
        <w:rPr>
          <w:rFonts w:ascii="宋体" w:hint="eastAsia"/>
          <w:sz w:val="36"/>
          <w:szCs w:val="36"/>
        </w:rPr>
        <w:t>五、</w:t>
      </w:r>
      <w:r>
        <w:rPr>
          <w:rFonts w:ascii="宋体"/>
          <w:sz w:val="36"/>
          <w:szCs w:val="36"/>
        </w:rPr>
        <w:t>一般公共预算支出表</w:t>
      </w:r>
    </w:p>
    <w:p>
      <w:pPr>
        <w:jc w:val="left"/>
        <w:rPr>
          <w:color w:val="339966"/>
          <w:sz w:val="36"/>
          <w:szCs w:val="36"/>
        </w:rPr>
      </w:pPr>
      <w:r>
        <w:rPr>
          <w:rFonts w:ascii="宋体" w:hint="eastAsia"/>
          <w:sz w:val="36"/>
          <w:szCs w:val="36"/>
        </w:rPr>
        <w:t>六、</w:t>
      </w:r>
      <w:r>
        <w:rPr>
          <w:rFonts w:ascii="宋体"/>
          <w:sz w:val="36"/>
          <w:szCs w:val="36"/>
        </w:rPr>
        <w:t>一般公共预算基本支出表</w:t>
      </w:r>
    </w:p>
    <w:p>
      <w:pPr>
        <w:jc w:val="left"/>
        <w:rPr>
          <w:sz w:val="36"/>
          <w:szCs w:val="36"/>
        </w:rPr>
      </w:pPr>
      <w:r>
        <w:rPr>
          <w:rFonts w:ascii="宋体" w:hint="eastAsia"/>
          <w:sz w:val="36"/>
          <w:szCs w:val="36"/>
        </w:rPr>
        <w:t>七、</w:t>
      </w:r>
      <w:r>
        <w:rPr>
          <w:rFonts w:ascii="宋体"/>
          <w:sz w:val="36"/>
          <w:szCs w:val="36"/>
        </w:rPr>
        <w:t>政府性基金预算支出表</w:t>
      </w:r>
    </w:p>
    <w:p>
      <w:pPr>
        <w:jc w:val="left"/>
        <w:rPr>
          <w:rFonts w:ascii="宋体"/>
          <w:sz w:val="36"/>
          <w:szCs w:val="36"/>
        </w:rPr>
      </w:pPr>
      <w:r>
        <w:rPr>
          <w:rFonts w:ascii="宋体" w:hint="eastAsia"/>
          <w:sz w:val="36"/>
          <w:szCs w:val="36"/>
        </w:rPr>
        <w:t>八、</w:t>
      </w:r>
      <w:r>
        <w:rPr>
          <w:rFonts w:ascii="宋体"/>
          <w:sz w:val="36"/>
          <w:szCs w:val="36"/>
        </w:rPr>
        <w:t>国有资本经营预算支出表</w:t>
      </w:r>
    </w:p>
    <w:p>
      <w:pPr>
        <w:jc w:val="left"/>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jc w:val="left"/>
        <w:rPr>
          <w:rFonts w:ascii="Times New Roman" w:cs="Times New Roman" w:hAnsi="Times New Roman"/>
          <w:b/>
          <w:sz w:val="44"/>
          <w:szCs w:val="44"/>
        </w:rPr>
      </w:pPr>
      <w:r>
        <w:rPr>
          <w:rFonts w:ascii="宋体" w:hint="eastAsia"/>
          <w:b/>
          <w:sz w:val="44"/>
          <w:szCs w:val="44"/>
        </w:rPr>
        <w:t>第三部分</w:t>
      </w:r>
      <w:r>
        <w:rPr>
          <w:rFonts w:hint="eastAsia"/>
          <w:b/>
          <w:sz w:val="44"/>
          <w:szCs w:val="44"/>
        </w:rPr>
        <w:t xml:space="preserve">  </w:t>
      </w:r>
      <w:r>
        <w:rPr>
          <w:rFonts w:ascii="Times New Roman" w:cs="Times New Roman" w:hAnsi="Times New Roman" w:hint="eastAsia"/>
          <w:b/>
          <w:sz w:val="44"/>
          <w:szCs w:val="44"/>
        </w:rPr>
        <w:t>滨州</w:t>
      </w:r>
      <w:r>
        <w:rPr>
          <w:rFonts w:ascii="Times New Roman" w:cs="Times New Roman" w:hAnsi="Times New Roman"/>
          <w:b/>
          <w:sz w:val="44"/>
          <w:szCs w:val="44"/>
        </w:rPr>
        <w:t>海关2026年部门预算情况说明</w:t>
      </w:r>
    </w:p>
    <w:p>
      <w:pPr>
        <w:jc w:val="left"/>
        <w:rPr>
          <w:rFonts w:ascii="宋体"/>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jc w:val="left"/>
        <w:rPr>
          <w:rFonts w:ascii="宋体"/>
          <w:b/>
          <w:sz w:val="44"/>
          <w:szCs w:val="44"/>
        </w:rPr>
      </w:pPr>
      <w:r>
        <w:rPr>
          <w:rFonts w:ascii="宋体" w:hint="eastAsia"/>
          <w:b/>
          <w:sz w:val="44"/>
          <w:szCs w:val="44"/>
        </w:rPr>
        <w:t>第五部分  附件</w:t>
      </w:r>
    </w:p>
    <w:p/>
    <w:p>
      <w:pPr>
        <w:tabs>
          <w:tab w:val="left" w:pos="6241"/>
        </w:tabs>
        <w:jc w:val="left"/>
        <w:sectPr>
          <w:footerReference w:type="default" r:id="rId4"/>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滨州海关部门概况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中华人民共和国滨州海关（以下简称“滨州海关”）为济南海关正处级隶属海关。负责滨州市辖区内的各项海关业务，负责党的基层组织建设和干部队伍建设，反馈执法作业结果，完成直属海关交办的其他工作。</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2003年11月，青岛海关驻滨州办事处正式设立，2012年12月划归济南海关管辖。2018年1月30日，海关总署批复更名为滨州海关，4月18日正式挂牌。2018年4月20日，出入境检验检疫职责与队伍正式划入海关。</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滨州海关</w:t>
      </w:r>
      <w:r>
        <w:rPr>
          <w:rFonts w:ascii="Times New Roman" w:eastAsia="方正黑体_GBK" w:hAnsi="Times New Roman"/>
          <w:sz w:val="32"/>
          <w:szCs w:val="32"/>
        </w:rPr>
        <w:t>单位构成情况</w:t>
      </w:r>
    </w:p>
    <w:p>
      <w:pPr>
        <w:pStyle w:val="108"/>
        <w:snapToGrid w:val="0"/>
        <w:spacing w:line="540" w:lineRule="exact"/>
        <w:ind w:firstLineChars="200" w:firstLine="640"/>
        <w:rPr>
          <w:rFonts w:eastAsia="方正仿宋_GBK"/>
          <w:kern w:val="2"/>
          <w:sz w:val="32"/>
          <w:szCs w:val="20"/>
          <w:lang w:eastAsia="zh-CN"/>
        </w:rPr>
      </w:pPr>
      <w:r>
        <w:rPr>
          <w:rFonts w:ascii="方正楷体_GBK" w:eastAsia="方正楷体_GBK" w:hint="eastAsia"/>
          <w:kern w:val="2"/>
          <w:sz w:val="32"/>
          <w:szCs w:val="28"/>
          <w:lang w:eastAsia="zh-CN"/>
        </w:rPr>
        <w:t>（一）</w:t>
      </w:r>
      <w:r>
        <w:rPr>
          <w:rFonts w:eastAsia="方正仿宋_GBK" w:hint="eastAsia"/>
          <w:kern w:val="2"/>
          <w:sz w:val="32"/>
          <w:szCs w:val="20"/>
          <w:lang w:eastAsia="zh-CN"/>
        </w:rPr>
        <w:t>正科级内设机构</w:t>
      </w:r>
      <w:r>
        <w:rPr>
          <w:rFonts w:eastAsia="方正仿宋_GBK"/>
          <w:kern w:val="2"/>
          <w:sz w:val="32"/>
          <w:szCs w:val="20"/>
          <w:lang w:eastAsia="zh-CN"/>
        </w:rPr>
        <w:t>1</w:t>
      </w:r>
      <w:r>
        <w:rPr>
          <w:rFonts w:eastAsia="方正仿宋_GBK" w:hint="eastAsia"/>
          <w:kern w:val="2"/>
          <w:sz w:val="32"/>
          <w:szCs w:val="20"/>
          <w:lang w:eastAsia="zh-CN"/>
        </w:rPr>
        <w:t>1个：</w:t>
      </w:r>
      <w:r>
        <w:rPr>
          <w:rFonts w:eastAsia="方正仿宋_GBK"/>
          <w:kern w:val="2"/>
          <w:sz w:val="32"/>
          <w:szCs w:val="20"/>
          <w:lang w:eastAsia="zh-CN"/>
        </w:rPr>
        <w:t>办公室（党委办公室）、人事政工监察科</w:t>
      </w:r>
      <w:r>
        <w:rPr>
          <w:rFonts w:eastAsia="方正仿宋_GBK" w:hint="eastAsia"/>
          <w:kern w:val="2"/>
          <w:sz w:val="32"/>
          <w:szCs w:val="20"/>
          <w:lang w:eastAsia="zh-CN"/>
        </w:rPr>
        <w:t>（党委组织宣传部）</w:t>
      </w:r>
      <w:r>
        <w:rPr>
          <w:rFonts w:eastAsia="方正仿宋_GBK"/>
          <w:kern w:val="2"/>
          <w:sz w:val="32"/>
          <w:szCs w:val="20"/>
          <w:lang w:eastAsia="zh-CN"/>
        </w:rPr>
        <w:t>、综合业务一科、综合业务二科、稽</w:t>
      </w:r>
      <w:r>
        <w:rPr>
          <w:rFonts w:eastAsia="方正仿宋_GBK" w:hint="eastAsia"/>
          <w:kern w:val="2"/>
          <w:sz w:val="32"/>
          <w:szCs w:val="20"/>
          <w:lang w:eastAsia="zh-CN"/>
        </w:rPr>
        <w:t>核</w:t>
      </w:r>
      <w:r>
        <w:rPr>
          <w:rFonts w:eastAsia="方正仿宋_GBK"/>
          <w:kern w:val="2"/>
          <w:sz w:val="32"/>
          <w:szCs w:val="20"/>
          <w:lang w:eastAsia="zh-CN"/>
        </w:rPr>
        <w:t>科、企业管理科、</w:t>
      </w:r>
      <w:r>
        <w:rPr>
          <w:rFonts w:eastAsia="方正仿宋_GBK" w:hint="eastAsia"/>
          <w:kern w:val="2"/>
          <w:sz w:val="32"/>
          <w:szCs w:val="20"/>
          <w:lang w:eastAsia="zh-CN"/>
        </w:rPr>
        <w:t>自贸科</w:t>
      </w:r>
      <w:r>
        <w:rPr>
          <w:rFonts w:eastAsia="方正仿宋_GBK"/>
          <w:kern w:val="2"/>
          <w:sz w:val="32"/>
          <w:szCs w:val="20"/>
          <w:lang w:eastAsia="zh-CN"/>
        </w:rPr>
        <w:t>、查检一科、查检二科、监管科</w:t>
      </w:r>
      <w:r>
        <w:rPr>
          <w:rFonts w:eastAsia="方正仿宋_GBK" w:hint="eastAsia"/>
          <w:kern w:val="2"/>
          <w:sz w:val="32"/>
          <w:szCs w:val="20"/>
          <w:lang w:eastAsia="zh-CN"/>
        </w:rPr>
        <w:t>、运行监控科</w:t>
      </w:r>
      <w:r>
        <w:rPr>
          <w:rFonts w:eastAsia="方正仿宋_GBK"/>
          <w:kern w:val="2"/>
          <w:sz w:val="32"/>
          <w:szCs w:val="20"/>
          <w:lang w:eastAsia="zh-CN"/>
        </w:rPr>
        <w:t>。</w:t>
      </w:r>
    </w:p>
    <w:p>
      <w:pPr>
        <w:pStyle w:val="108"/>
        <w:snapToGrid w:val="0"/>
        <w:spacing w:line="560" w:lineRule="exact"/>
        <w:ind w:firstLineChars="200" w:firstLine="640"/>
        <w:rPr>
          <w:rFonts w:eastAsia="方正仿宋_GBK"/>
          <w:kern w:val="2"/>
          <w:sz w:val="32"/>
          <w:szCs w:val="20"/>
          <w:lang w:eastAsia="zh-CN"/>
        </w:rPr>
      </w:pPr>
      <w:r>
        <w:rPr>
          <w:rFonts w:eastAsia="方正仿宋_GBK"/>
          <w:kern w:val="2"/>
          <w:sz w:val="32"/>
          <w:szCs w:val="20"/>
          <w:lang w:eastAsia="zh-CN"/>
        </w:rPr>
        <w:t>另设济南海关技术中心滨州实验室。</w:t>
      </w:r>
    </w:p>
    <w:p>
      <w:pPr>
        <w:pStyle w:val="108"/>
        <w:snapToGrid w:val="0"/>
        <w:spacing w:line="560" w:lineRule="exact"/>
        <w:ind w:firstLine="630"/>
        <w:rPr>
          <w:rFonts w:ascii="方正楷体_GBK" w:eastAsia="方正楷体_GBK"/>
          <w:kern w:val="2"/>
          <w:sz w:val="32"/>
          <w:szCs w:val="28"/>
          <w:lang w:eastAsia="zh-CN"/>
        </w:rPr>
      </w:pPr>
      <w:r>
        <w:rPr>
          <w:rFonts w:ascii="方正楷体_GBK" w:eastAsia="方正楷体_GBK" w:hint="eastAsia"/>
          <w:kern w:val="2"/>
          <w:sz w:val="32"/>
          <w:szCs w:val="28"/>
          <w:lang w:eastAsia="zh-CN"/>
        </w:rPr>
        <w:t>（二）</w:t>
      </w:r>
      <w:r>
        <w:rPr>
          <w:rFonts w:ascii="方正楷体_GBK" w:eastAsia="方正楷体_GBK"/>
          <w:kern w:val="2"/>
          <w:sz w:val="32"/>
          <w:szCs w:val="28"/>
          <w:lang w:eastAsia="zh-CN"/>
        </w:rPr>
        <w:t>科室</w:t>
      </w:r>
      <w:r>
        <w:rPr>
          <w:rFonts w:ascii="方正楷体_GBK" w:eastAsia="方正楷体_GBK" w:hint="eastAsia"/>
          <w:kern w:val="2"/>
          <w:sz w:val="32"/>
          <w:szCs w:val="28"/>
          <w:lang w:eastAsia="zh-CN"/>
        </w:rPr>
        <w:t>主要职责</w:t>
      </w:r>
    </w:p>
    <w:p>
      <w:pPr>
        <w:pStyle w:val="20"/>
        <w:autoSpaceDN w:val="0"/>
        <w:adjustRightInd w:val="0"/>
        <w:snapToGrid w:val="0"/>
        <w:spacing w:line="560" w:lineRule="exact"/>
        <w:ind w:firstLineChars="200" w:firstLine="640"/>
        <w:rPr>
          <w:rFonts w:ascii="Times New Roman" w:eastAsia="方正仿宋_GBK" w:hAnsi="Times New Roman"/>
          <w:sz w:val="32"/>
          <w:szCs w:val="20"/>
        </w:rPr>
      </w:pPr>
      <w:r>
        <w:rPr>
          <w:rFonts w:ascii="Times New Roman" w:eastAsia="方正仿宋_GBK" w:hAnsi="Times New Roman"/>
          <w:sz w:val="32"/>
          <w:szCs w:val="20"/>
        </w:rPr>
        <w:t>1.</w:t>
      </w:r>
      <w:r>
        <w:rPr>
          <w:rFonts w:ascii="Times New Roman" w:eastAsia="方正仿宋_GBK" w:hAnsi="Times New Roman" w:hint="eastAsia"/>
          <w:sz w:val="32"/>
          <w:szCs w:val="20"/>
        </w:rPr>
        <w:t>办公室</w:t>
      </w:r>
      <w:r>
        <w:rPr>
          <w:rFonts w:ascii="Times New Roman" w:eastAsia="方正仿宋_GBK" w:hAnsi="Times New Roman"/>
          <w:sz w:val="32"/>
          <w:szCs w:val="20"/>
        </w:rPr>
        <w:t>（党委办公室）</w:t>
      </w:r>
      <w:r>
        <w:rPr>
          <w:rFonts w:ascii="Times New Roman" w:eastAsia="方正仿宋_GBK" w:hAnsi="Times New Roman" w:hint="eastAsia"/>
          <w:sz w:val="32"/>
          <w:szCs w:val="20"/>
        </w:rPr>
        <w:t>：</w:t>
      </w:r>
      <w:r>
        <w:rPr>
          <w:rFonts w:ascii="Times New Roman" w:eastAsia="方正仿宋_GBK" w:hAnsi="Times New Roman"/>
          <w:sz w:val="32"/>
          <w:szCs w:val="20"/>
        </w:rPr>
        <w:t>负责</w:t>
      </w:r>
      <w:r>
        <w:rPr>
          <w:rFonts w:ascii="Times New Roman" w:eastAsia="方正仿宋_GBK" w:cs="方正仿宋_GBK" w:hAnsi="Times New Roman" w:hint="eastAsia"/>
          <w:sz w:val="32"/>
          <w:szCs w:val="32"/>
        </w:rPr>
        <w:t>政务处理、公文管理、印章管理、会议管理、公务接待、机要保密、档案管理、文秘工作、信息宣传、政务公开、信访接待、外事工作、督查督办、调查研究、因公出国（境）管理、安全保卫、值班应急财务管理、关务保障、行政后勤、科技、信息化、技术保障</w:t>
      </w:r>
      <w:r>
        <w:rPr>
          <w:rFonts w:ascii="Times New Roman" w:eastAsia="方正仿宋_GBK" w:hAnsi="Times New Roman" w:hint="eastAsia"/>
          <w:sz w:val="32"/>
          <w:szCs w:val="20"/>
        </w:rPr>
        <w:t>等工作</w:t>
      </w:r>
      <w:r>
        <w:rPr>
          <w:rFonts w:ascii="Times New Roman" w:eastAsia="方正仿宋_GBK" w:hAnsi="Times New Roman"/>
          <w:sz w:val="32"/>
          <w:szCs w:val="20"/>
        </w:rPr>
        <w:t>。</w:t>
      </w:r>
    </w:p>
    <w:p>
      <w:pPr>
        <w:pStyle w:val="20"/>
        <w:autoSpaceDN w:val="0"/>
        <w:adjustRightInd w:val="0"/>
        <w:snapToGrid w:val="0"/>
        <w:spacing w:line="560" w:lineRule="exact"/>
        <w:ind w:firstLineChars="200" w:firstLine="640"/>
        <w:rPr>
          <w:rFonts w:ascii="Times New Roman" w:eastAsia="方正仿宋_GBK" w:hAnsi="Times New Roman"/>
          <w:sz w:val="32"/>
          <w:szCs w:val="20"/>
        </w:rPr>
      </w:pPr>
      <w:r>
        <w:rPr>
          <w:rFonts w:ascii="Times New Roman" w:eastAsia="方正仿宋_GBK" w:hAnsi="Times New Roman"/>
          <w:sz w:val="32"/>
          <w:szCs w:val="20"/>
        </w:rPr>
        <w:t>2.</w:t>
      </w:r>
      <w:r>
        <w:rPr>
          <w:rFonts w:ascii="Times New Roman" w:eastAsia="方正仿宋_GBK" w:hAnsi="Times New Roman" w:hint="eastAsia"/>
          <w:sz w:val="32"/>
          <w:szCs w:val="20"/>
        </w:rPr>
        <w:t>人事政工监察科（党委组织宣传部）：负责</w:t>
      </w:r>
      <w:r>
        <w:rPr>
          <w:rFonts w:ascii="Times New Roman" w:eastAsia="方正仿宋_GBK" w:cs="方正仿宋_GBK" w:hAnsi="Times New Roman" w:hint="eastAsia"/>
          <w:sz w:val="32"/>
          <w:szCs w:val="32"/>
        </w:rPr>
        <w:t>党建政工、意识形态、党风廉政、巡视巡察、行风建设管理、干部人事、教育培训、工资管理、关衔管理、考勤管理、请休假管理、因私出国（境）管理、精神文明、内务建设、工会工作、群团工作、离退休干部和聘用人员管理</w:t>
      </w:r>
      <w:r>
        <w:rPr>
          <w:rFonts w:ascii="Times New Roman" w:eastAsia="方正仿宋_GBK" w:hAnsi="Times New Roman"/>
          <w:sz w:val="32"/>
          <w:szCs w:val="20"/>
        </w:rPr>
        <w:t>等</w:t>
      </w:r>
      <w:r>
        <w:rPr>
          <w:rFonts w:ascii="Times New Roman" w:eastAsia="方正仿宋_GBK" w:hAnsi="Times New Roman" w:hint="eastAsia"/>
          <w:sz w:val="32"/>
          <w:szCs w:val="20"/>
        </w:rPr>
        <w:t>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sz w:val="32"/>
          <w:szCs w:val="20"/>
        </w:rPr>
        <w:t>3.综合业务一科：负责</w:t>
      </w:r>
      <w:r>
        <w:rPr>
          <w:rFonts w:ascii="Times New Roman" w:eastAsia="方正仿宋_GBK" w:cs="方正仿宋_GBK" w:hAnsi="Times New Roman" w:hint="eastAsia"/>
          <w:sz w:val="32"/>
          <w:szCs w:val="32"/>
        </w:rPr>
        <w:t>商品归类、税则调研、税收征管、属地纳税人管理、减免税管理、知识产权海关保护、一般贸易、加工贸易内销、特殊贸易货物审价及公式定价备案、核销、原产地证书审核、签证、归档等工作。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sz w:val="32"/>
          <w:szCs w:val="20"/>
        </w:rPr>
        <w:t>4.综合业务二科：负责</w:t>
      </w:r>
      <w:r>
        <w:rPr>
          <w:rFonts w:ascii="Times New Roman" w:eastAsia="方正仿宋_GBK" w:cs="方正仿宋_GBK" w:hAnsi="Times New Roman" w:hint="eastAsia"/>
          <w:sz w:val="32"/>
          <w:szCs w:val="32"/>
        </w:rPr>
        <w:t>贸易统计、业务统计、统计分析、监测预警、统计咨询、统计监督、统计调查、业务综合统筹，改革协调，对接地方业务事项协调、优化营商环境等工作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sz w:val="32"/>
          <w:szCs w:val="20"/>
        </w:rPr>
        <w:t>5.稽核科：负责</w:t>
      </w:r>
      <w:r>
        <w:rPr>
          <w:rFonts w:ascii="Times New Roman" w:eastAsia="方正仿宋_GBK" w:cs="方正仿宋_GBK" w:hAnsi="Times New Roman" w:hint="eastAsia"/>
          <w:sz w:val="32"/>
          <w:szCs w:val="32"/>
        </w:rPr>
        <w:t>企业稽查、贸易调查、行政案件办理、保税监管业务核查、企业管理业务核查、关税业务核查、统计业务核查、口岸监管业务核查、动植物检疫监管业务核查、商品检验监管业务核查、进出口食品安全监管业务核查等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hint="eastAsia"/>
          <w:sz w:val="32"/>
          <w:szCs w:val="20"/>
        </w:rPr>
        <w:t>6</w:t>
      </w:r>
      <w:r>
        <w:rPr>
          <w:rFonts w:ascii="Times New Roman" w:eastAsia="方正仿宋_GBK" w:hAnsi="Times New Roman"/>
          <w:sz w:val="32"/>
          <w:szCs w:val="20"/>
        </w:rPr>
        <w:t>.企业管理科：负责</w:t>
      </w:r>
      <w:r>
        <w:rPr>
          <w:rFonts w:ascii="Times New Roman" w:eastAsia="方正仿宋_GBK" w:cs="方正仿宋_GBK" w:hAnsi="Times New Roman" w:hint="eastAsia"/>
          <w:sz w:val="32"/>
          <w:szCs w:val="32"/>
        </w:rPr>
        <w:t>进出口企业注册登记、变更、注销，出入境动植物、动植物产品的生产、加工和存放企业注册登记，出口食品生产企业原料种养殖场和生产企业备案及对外推荐，进口食品国内收货人备案，企业信用管理，组织实施</w:t>
      </w:r>
      <w:r>
        <w:rPr>
          <w:rFonts w:ascii="Times New Roman" w:eastAsia="方正仿宋_GBK" w:cs="Times New Roman" w:hAnsi="Times New Roman"/>
          <w:sz w:val="32"/>
          <w:szCs w:val="32"/>
        </w:rPr>
        <w:t>AEO</w:t>
      </w:r>
      <w:r>
        <w:rPr>
          <w:rFonts w:ascii="Times New Roman" w:eastAsia="方正仿宋_GBK" w:cs="方正仿宋_GBK" w:hAnsi="Times New Roman" w:hint="eastAsia"/>
          <w:sz w:val="32"/>
          <w:szCs w:val="32"/>
        </w:rPr>
        <w:t>实地认证，参与地方社会信用体系建设等工作。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hint="eastAsia"/>
          <w:sz w:val="32"/>
          <w:szCs w:val="20"/>
        </w:rPr>
        <w:t>7</w:t>
      </w:r>
      <w:r>
        <w:rPr>
          <w:rFonts w:ascii="Times New Roman" w:eastAsia="方正仿宋_GBK" w:hAnsi="Times New Roman"/>
          <w:sz w:val="32"/>
          <w:szCs w:val="20"/>
        </w:rPr>
        <w:t>.</w:t>
      </w:r>
      <w:r>
        <w:rPr>
          <w:rFonts w:ascii="Times New Roman" w:eastAsia="方正仿宋_GBK" w:hAnsi="Times New Roman" w:hint="eastAsia"/>
          <w:sz w:val="32"/>
          <w:szCs w:val="20"/>
        </w:rPr>
        <w:t>自贸</w:t>
      </w:r>
      <w:r>
        <w:rPr>
          <w:rFonts w:ascii="Times New Roman" w:eastAsia="方正仿宋_GBK" w:hAnsi="Times New Roman"/>
          <w:sz w:val="32"/>
          <w:szCs w:val="20"/>
        </w:rPr>
        <w:t>科：负责</w:t>
      </w:r>
      <w:r>
        <w:rPr>
          <w:rFonts w:ascii="Times New Roman" w:eastAsia="方正仿宋_GBK" w:cs="方正仿宋_GBK" w:hAnsi="Times New Roman" w:hint="eastAsia"/>
          <w:sz w:val="32"/>
          <w:szCs w:val="32"/>
        </w:rPr>
        <w:t>加工贸易保税业务管理、出境加工监管、公自用非贸物品审批备案、跨境电商监管、海关特殊监管区域管理，保税物流中心、保税仓库、出口监管仓库等保税监管场所设立、管理等工作。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hint="eastAsia"/>
          <w:sz w:val="32"/>
          <w:szCs w:val="20"/>
        </w:rPr>
        <w:t>8</w:t>
      </w:r>
      <w:r>
        <w:rPr>
          <w:rFonts w:ascii="Times New Roman" w:eastAsia="方正仿宋_GBK" w:hAnsi="Times New Roman"/>
          <w:sz w:val="32"/>
          <w:szCs w:val="20"/>
        </w:rPr>
        <w:t>.查检一科：负责</w:t>
      </w:r>
      <w:r>
        <w:rPr>
          <w:rFonts w:ascii="Times New Roman" w:eastAsia="方正仿宋_GBK" w:cs="方正仿宋_GBK" w:hAnsi="Times New Roman" w:hint="eastAsia"/>
          <w:sz w:val="32"/>
          <w:szCs w:val="32"/>
        </w:rPr>
        <w:t>进出口工业品（属地）检验检疫，风险评估、风险预警和快速反应，国家实行许可制度的进口商品验证，</w:t>
      </w:r>
      <w:r>
        <w:rPr>
          <w:rFonts w:ascii="Times New Roman" w:eastAsia="方正仿宋_GBK" w:hAnsi="Times New Roman"/>
          <w:sz w:val="32"/>
          <w:szCs w:val="20"/>
        </w:rPr>
        <w:t>进出口危险化学品及包装现场检验，</w:t>
      </w:r>
      <w:r>
        <w:rPr>
          <w:rFonts w:ascii="Times New Roman" w:eastAsia="方正仿宋_GBK" w:cs="方正仿宋_GBK" w:hAnsi="Times New Roman" w:hint="eastAsia"/>
          <w:sz w:val="32"/>
          <w:szCs w:val="32"/>
        </w:rPr>
        <w:t>进出口商品检验结果采集管理等工作。</w:t>
      </w:r>
    </w:p>
    <w:p>
      <w:pPr>
        <w:pStyle w:val="20"/>
        <w:autoSpaceDN w:val="0"/>
        <w:adjustRightInd w:val="0"/>
        <w:snapToGrid w:val="0"/>
        <w:spacing w:line="560" w:lineRule="exact"/>
        <w:ind w:firstLineChars="200" w:firstLine="640"/>
        <w:rPr>
          <w:rFonts w:ascii="Times New Roman" w:eastAsia="方正仿宋_GBK" w:hAnsi="Times New Roman"/>
        </w:rPr>
      </w:pPr>
      <w:r>
        <w:rPr>
          <w:rFonts w:ascii="Times New Roman" w:eastAsia="方正仿宋_GBK" w:hAnsi="Times New Roman" w:hint="eastAsia"/>
          <w:sz w:val="32"/>
          <w:szCs w:val="20"/>
        </w:rPr>
        <w:t>9</w:t>
      </w:r>
      <w:r>
        <w:rPr>
          <w:rFonts w:ascii="Times New Roman" w:eastAsia="方正仿宋_GBK" w:hAnsi="Times New Roman"/>
          <w:sz w:val="32"/>
          <w:szCs w:val="20"/>
        </w:rPr>
        <w:t>.查检二科：负责</w:t>
      </w:r>
      <w:r>
        <w:rPr>
          <w:rFonts w:ascii="Times New Roman" w:eastAsia="方正仿宋_GBK" w:cs="方正仿宋_GBK" w:hAnsi="Times New Roman" w:hint="eastAsia"/>
          <w:sz w:val="32"/>
          <w:szCs w:val="32"/>
        </w:rPr>
        <w:t>进出口食品、化妆品和出入境动植物、动植物产品的属地查检、检验检疫、风险信息收集、检验检疫政策研究、宣传培训、应急处置，外来有害生物监测，进出口食品、化妆品、出入境动植物及其产品的疫病疫情监测，阳信进境肉类指定监管场地管理等工作。</w:t>
      </w:r>
    </w:p>
    <w:p>
      <w:pPr>
        <w:pStyle w:val="20"/>
        <w:autoSpaceDN w:val="0"/>
        <w:adjustRightInd w:val="0"/>
        <w:snapToGrid w:val="0"/>
        <w:spacing w:line="560" w:lineRule="exact"/>
        <w:ind w:firstLineChars="200" w:firstLine="640"/>
        <w:rPr>
          <w:rFonts w:ascii="Times New Roman" w:eastAsia="方正仿宋_GBK" w:hAnsi="Times New Roman"/>
          <w:sz w:val="32"/>
          <w:szCs w:val="20"/>
        </w:rPr>
      </w:pPr>
      <w:r>
        <w:rPr>
          <w:rFonts w:ascii="Times New Roman" w:eastAsia="方正仿宋_GBK" w:hAnsi="Times New Roman" w:hint="eastAsia"/>
          <w:sz w:val="32"/>
          <w:szCs w:val="20"/>
        </w:rPr>
        <w:t>10.监管科：</w:t>
      </w:r>
      <w:r>
        <w:rPr>
          <w:rFonts w:ascii="Times New Roman" w:eastAsia="方正仿宋_GBK" w:hAnsi="Times New Roman"/>
          <w:sz w:val="32"/>
          <w:szCs w:val="20"/>
        </w:rPr>
        <w:t>负责</w:t>
      </w:r>
      <w:r>
        <w:rPr>
          <w:rFonts w:ascii="Times New Roman" w:eastAsia="方正仿宋_GBK" w:cs="方正仿宋_GBK" w:hAnsi="Times New Roman" w:hint="eastAsia"/>
          <w:sz w:val="32"/>
          <w:szCs w:val="32"/>
        </w:rPr>
        <w:t>滨州港进出境船舶、人员、物品监管，舱单管理，口岸查验，博兴内陆港等海关监管作业场所管理，卫生检疫，安全生产</w:t>
      </w:r>
      <w:r>
        <w:rPr>
          <w:rFonts w:ascii="Times New Roman" w:eastAsia="方正仿宋_GBK" w:hAnsi="Times New Roman"/>
          <w:sz w:val="32"/>
          <w:szCs w:val="20"/>
        </w:rPr>
        <w:t>等工作</w:t>
      </w:r>
      <w:r>
        <w:rPr>
          <w:rFonts w:ascii="Times New Roman" w:eastAsia="方正仿宋_GBK" w:hAnsi="Times New Roman" w:hint="eastAsia"/>
          <w:sz w:val="32"/>
          <w:szCs w:val="20"/>
        </w:rPr>
        <w:t>。</w:t>
      </w:r>
    </w:p>
    <w:p>
      <w:pPr>
        <w:pStyle w:val="20"/>
        <w:autoSpaceDN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20"/>
        </w:rPr>
        <w:t>11.运行监控科：负责</w:t>
      </w:r>
      <w:r>
        <w:rPr>
          <w:rFonts w:ascii="Times New Roman" w:eastAsia="方正仿宋_GBK" w:cs="方正仿宋_GBK" w:hAnsi="Times New Roman" w:hint="eastAsia"/>
          <w:sz w:val="32"/>
          <w:szCs w:val="32"/>
        </w:rPr>
        <w:t>督察内审、内控管理，业务运行监控、风险分析管理，技术性贸易措施的监测、评估和咨询服务，法规综合性等工作。</w:t>
      </w:r>
      <w:r>
        <w:rPr>
          <w:rFonts w:ascii="Times New Roman" w:eastAsia="方正仿宋_GBK" w:hAnsi="Times New Roman"/>
          <w:sz w:val="32"/>
          <w:szCs w:val="32"/>
        </w:rPr>
        <w:br w:type="page"/>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宋体"/>
          <w:b/>
          <w:sz w:val="84"/>
          <w:szCs w:val="84"/>
        </w:rPr>
      </w:pPr>
      <w:r>
        <w:rPr>
          <w:rFonts w:ascii="宋体" w:hint="eastAsia"/>
          <w:b/>
          <w:sz w:val="84"/>
          <w:szCs w:val="84"/>
        </w:rPr>
        <w:t>第二部分</w:t>
      </w:r>
      <w:r>
        <w:rPr>
          <w:rFonts w:ascii="宋体"/>
          <w:b/>
          <w:sz w:val="84"/>
          <w:szCs w:val="84"/>
        </w:rPr>
        <w:t xml:space="preserve">  </w:t>
      </w:r>
    </w:p>
    <w:p>
      <w:pPr>
        <w:jc w:val="center"/>
        <w:rPr>
          <w:rFonts w:ascii="Times New Roman" w:cs="Times New Roman" w:hAnsi="Times New Roman"/>
          <w:b/>
          <w:sz w:val="84"/>
          <w:szCs w:val="84"/>
        </w:rPr>
      </w:pPr>
      <w:r>
        <w:rPr>
          <w:rFonts w:ascii="Times New Roman" w:cs="Times New Roman" w:hAnsi="Times New Roman" w:hint="eastAsia"/>
          <w:b/>
          <w:sz w:val="84"/>
          <w:szCs w:val="84"/>
        </w:rPr>
        <w:t>滨州</w:t>
      </w:r>
      <w:r>
        <w:rPr>
          <w:rFonts w:ascii="Times New Roman" w:cs="Times New Roman" w:hAnsi="Times New Roman"/>
          <w:b/>
          <w:sz w:val="84"/>
          <w:szCs w:val="84"/>
        </w:rPr>
        <w:t>海关2026年</w:t>
      </w:r>
    </w:p>
    <w:p>
      <w:pPr>
        <w:jc w:val="center"/>
        <w:rPr>
          <w:rFonts w:ascii="Times New Roman" w:cs="Times New Roman" w:hAnsi="Times New Roman"/>
          <w:b/>
          <w:sz w:val="84"/>
          <w:szCs w:val="84"/>
        </w:rPr>
      </w:pPr>
      <w:r>
        <w:rPr>
          <w:rFonts w:ascii="Times New Roman" w:cs="Times New Roman" w:hAnsi="Times New Roman"/>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left"/>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13"/>
        <w:gridCol w:w="3570"/>
        <w:gridCol w:w="3465"/>
        <w:gridCol w:w="3462"/>
      </w:tblGrid>
      <w:tr>
        <w:trPr>
          <w:trHeight w:val="330"/>
        </w:trPr>
        <w:tc>
          <w:tcPr>
            <w:tcW w:w="3513" w:type="dxa"/>
            <w:tcBorders>
              <w:top w:val="nil"/>
              <w:left w:val="nil"/>
              <w:bottom w:val="nil"/>
              <w:right w:val="nil"/>
              <w:tl2br w:val="nil"/>
              <w:tr2bl w:val="nil"/>
            </w:tcBorders>
            <w:noWrap/>
            <w:vAlign w:val="center"/>
          </w:tcPr>
          <w:p>
            <w:pPr>
              <w:rPr>
                <w:rFonts w:ascii="宋体"/>
                <w:sz w:val="20"/>
              </w:rPr>
            </w:pPr>
          </w:p>
        </w:tc>
        <w:tc>
          <w:tcPr>
            <w:tcW w:w="3570" w:type="dxa"/>
            <w:tcBorders>
              <w:top w:val="nil"/>
              <w:left w:val="nil"/>
              <w:bottom w:val="nil"/>
              <w:right w:val="nil"/>
              <w:tl2br w:val="nil"/>
              <w:tr2bl w:val="nil"/>
            </w:tcBorders>
            <w:noWrap/>
            <w:vAlign w:val="center"/>
          </w:tcPr>
          <w:p>
            <w:pPr>
              <w:rPr>
                <w:rFonts w:ascii="宋体"/>
                <w:sz w:val="20"/>
              </w:rPr>
            </w:pPr>
          </w:p>
        </w:tc>
        <w:tc>
          <w:tcPr>
            <w:tcW w:w="3465" w:type="dxa"/>
            <w:tcBorders>
              <w:top w:val="nil"/>
              <w:left w:val="nil"/>
              <w:bottom w:val="nil"/>
              <w:right w:val="nil"/>
              <w:tl2br w:val="nil"/>
              <w:tr2bl w:val="nil"/>
            </w:tcBorders>
            <w:noWrap/>
            <w:vAlign w:val="center"/>
          </w:tcPr>
          <w:p>
            <w:pPr>
              <w:rPr>
                <w:rFonts w:ascii="宋体"/>
                <w:sz w:val="20"/>
              </w:rPr>
            </w:pPr>
          </w:p>
        </w:tc>
        <w:tc>
          <w:tcPr>
            <w:tcW w:w="3462" w:type="dxa"/>
            <w:tcBorders>
              <w:top w:val="nil"/>
              <w:left w:val="nil"/>
              <w:bottom w:val="nil"/>
              <w:right w:val="nil"/>
              <w:tl2br w:val="nil"/>
              <w:tr2bl w:val="nil"/>
            </w:tcBorders>
            <w:noWrap/>
            <w:vAlign w:val="center"/>
          </w:tcPr>
          <w:p>
            <w:pPr>
              <w:jc w:val="right"/>
              <w:rPr>
                <w:rFonts w:ascii="宋体"/>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1</w:t>
            </w:r>
          </w:p>
        </w:tc>
      </w:tr>
      <w:tr>
        <w:trPr>
          <w:trHeight w:val="660"/>
        </w:trPr>
        <w:tc>
          <w:tcPr>
            <w:tcW w:w="14010" w:type="dxa"/>
            <w:gridSpan w:val="4"/>
            <w:tcBorders>
              <w:top w:val="nil"/>
              <w:left w:val="nil"/>
              <w:bottom w:val="nil"/>
              <w:right w:val="nil"/>
              <w:tl2br w:val="nil"/>
              <w:tr2bl w:val="nil"/>
            </w:tcBorders>
            <w:noWrap/>
            <w:vAlign w:val="center"/>
          </w:tcPr>
          <w:p>
            <w:pPr>
              <w:jc w:val="center"/>
              <w:rPr>
                <w:rFonts w:ascii="宋体"/>
                <w:b/>
                <w:color w:val="000000"/>
                <w:sz w:val="48"/>
              </w:rPr>
            </w:pPr>
            <w:r>
              <w:rPr>
                <w:rFonts w:ascii="宋体"/>
                <w:b/>
                <w:color w:val="000000"/>
                <w:sz w:val="48"/>
              </w:rPr>
              <w:t>部门收支总表</w:t>
            </w:r>
          </w:p>
        </w:tc>
      </w:tr>
      <w:tr>
        <w:trPr>
          <w:trHeight w:val="349"/>
        </w:trPr>
        <w:tc>
          <w:tcPr>
            <w:tcW w:w="3513" w:type="dxa"/>
            <w:tcBorders>
              <w:top w:val="nil"/>
              <w:left w:val="nil"/>
              <w:bottom w:val="nil"/>
              <w:right w:val="nil"/>
              <w:tl2br w:val="nil"/>
              <w:tr2bl w:val="nil"/>
            </w:tcBorders>
            <w:noWrap/>
            <w:vAlign w:val="center"/>
          </w:tcPr>
          <w:p>
            <w:pPr>
              <w:rPr>
                <w:rFonts w:ascii="宋体"/>
                <w:color w:val="000000"/>
                <w:sz w:val="20"/>
              </w:rPr>
            </w:pPr>
            <w:r>
              <w:rPr>
                <w:rFonts w:ascii="宋体"/>
                <w:color w:val="000000"/>
                <w:sz w:val="20"/>
              </w:rPr>
              <w:t>单位：中华人民共和国</w:t>
            </w:r>
            <w:r>
              <w:rPr>
                <w:rFonts w:ascii="宋体" w:hint="eastAsia"/>
                <w:color w:val="000000"/>
                <w:sz w:val="20"/>
              </w:rPr>
              <w:t>滨州</w:t>
            </w:r>
            <w:r>
              <w:rPr>
                <w:rFonts w:ascii="宋体"/>
                <w:color w:val="000000"/>
                <w:sz w:val="20"/>
              </w:rPr>
              <w:t>海关</w:t>
            </w:r>
          </w:p>
        </w:tc>
        <w:tc>
          <w:tcPr>
            <w:tcW w:w="3570" w:type="dxa"/>
            <w:tcBorders>
              <w:top w:val="nil"/>
              <w:left w:val="nil"/>
              <w:bottom w:val="nil"/>
              <w:right w:val="nil"/>
              <w:tl2br w:val="nil"/>
              <w:tr2bl w:val="nil"/>
            </w:tcBorders>
            <w:noWrap/>
            <w:vAlign w:val="center"/>
          </w:tcPr>
          <w:p>
            <w:pPr>
              <w:rPr>
                <w:rFonts w:ascii="宋体"/>
                <w:color w:val="000000"/>
                <w:sz w:val="18"/>
              </w:rPr>
            </w:pPr>
          </w:p>
        </w:tc>
        <w:tc>
          <w:tcPr>
            <w:tcW w:w="3465" w:type="dxa"/>
            <w:tcBorders>
              <w:top w:val="nil"/>
              <w:left w:val="nil"/>
              <w:bottom w:val="nil"/>
              <w:right w:val="nil"/>
              <w:tl2br w:val="nil"/>
              <w:tr2bl w:val="nil"/>
            </w:tcBorders>
            <w:noWrap/>
            <w:vAlign w:val="center"/>
          </w:tcPr>
          <w:p>
            <w:pPr>
              <w:rPr>
                <w:rFonts w:ascii="宋体"/>
                <w:color w:val="000000"/>
                <w:sz w:val="18"/>
              </w:rPr>
            </w:pPr>
          </w:p>
        </w:tc>
        <w:tc>
          <w:tcPr>
            <w:tcW w:w="3462" w:type="dxa"/>
            <w:tcBorders>
              <w:top w:val="nil"/>
              <w:left w:val="nil"/>
              <w:bottom w:val="nil"/>
              <w:right w:val="nil"/>
              <w:tl2br w:val="nil"/>
              <w:tr2bl w:val="nil"/>
            </w:tcBorders>
            <w:noWrap/>
            <w:vAlign w:val="center"/>
          </w:tcPr>
          <w:p>
            <w:pPr>
              <w:jc w:val="right"/>
              <w:rPr>
                <w:rFonts w:ascii="宋体"/>
                <w:color w:val="000000"/>
                <w:sz w:val="18"/>
              </w:rPr>
            </w:pPr>
            <w:r>
              <w:rPr>
                <w:rFonts w:ascii="宋体"/>
                <w:color w:val="000000"/>
                <w:sz w:val="18"/>
              </w:rPr>
              <w:t>单位：万元</w:t>
            </w:r>
          </w:p>
        </w:tc>
      </w:tr>
      <w:tr>
        <w:trPr>
          <w:trHeight w:val="396"/>
        </w:trPr>
        <w:tc>
          <w:tcPr>
            <w:tcW w:w="708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收入</w:t>
            </w:r>
          </w:p>
        </w:tc>
        <w:tc>
          <w:tcPr>
            <w:tcW w:w="692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支出</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项目</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预算数</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项目</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预算数</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一、一般公共预算拨款收入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1160.41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color w:val="000000"/>
                <w:sz w:val="24"/>
              </w:rPr>
              <w:t>一、一般公共服务支出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1928.02</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二、政府性基金预算拨款收入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color w:val="000000"/>
                <w:sz w:val="24"/>
              </w:rPr>
              <w:t>二、社会保障和就业支出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221.90</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三、国有资本经营预算拨款收入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color w:val="000000"/>
                <w:sz w:val="24"/>
              </w:rPr>
              <w:t>三、卫生健康支出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76.26</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四、事业收入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color w:val="000000"/>
                <w:sz w:val="24"/>
              </w:rPr>
              <w:t>四、住房保障支出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198.44</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五、事业单位经营收入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六、其他收入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550.00</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20"/>
              </w:rPr>
            </w:pPr>
            <w:r>
              <w:rPr>
                <w:rFonts w:ascii="宋体"/>
                <w:sz w:val="20"/>
              </w:rPr>
              <w:t>本年收入合计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1710.41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20"/>
              </w:rPr>
            </w:pPr>
            <w:r>
              <w:rPr>
                <w:rFonts w:ascii="宋体"/>
                <w:sz w:val="20"/>
              </w:rPr>
              <w:t>本年支出合计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2424.62</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使用非财政拨款结余</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结转下年（非财政拨款）</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r>
              <w:rPr>
                <w:rFonts w:ascii="宋体"/>
                <w:sz w:val="20"/>
              </w:rPr>
              <w:t>上年结转</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714.21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20"/>
              </w:rPr>
            </w:pPr>
            <w:r>
              <w:rPr>
                <w:rFonts w:ascii="宋体"/>
                <w:sz w:val="20"/>
              </w:rPr>
              <w:t>收入总计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2424.62</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20"/>
              </w:rPr>
            </w:pPr>
            <w:r>
              <w:rPr>
                <w:rFonts w:ascii="宋体"/>
                <w:sz w:val="20"/>
              </w:rPr>
              <w:t>支出总计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sz w:val="20"/>
              </w:rPr>
              <w:t>2424.62</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4"/>
        <w:gridCol w:w="974"/>
        <w:gridCol w:w="1124"/>
        <w:gridCol w:w="1124"/>
        <w:gridCol w:w="1124"/>
        <w:gridCol w:w="1563"/>
        <w:gridCol w:w="1261"/>
        <w:gridCol w:w="944"/>
        <w:gridCol w:w="1154"/>
        <w:gridCol w:w="1054"/>
        <w:gridCol w:w="1260"/>
        <w:gridCol w:w="1364"/>
      </w:tblGrid>
      <w:tr>
        <w:trPr>
          <w:trHeight w:val="329"/>
        </w:trPr>
        <w:tc>
          <w:tcPr>
            <w:tcW w:w="1064" w:type="dxa"/>
            <w:tcBorders>
              <w:top w:val="nil"/>
              <w:left w:val="nil"/>
              <w:bottom w:val="nil"/>
              <w:right w:val="nil"/>
              <w:tl2br w:val="nil"/>
              <w:tr2bl w:val="nil"/>
            </w:tcBorders>
            <w:noWrap/>
            <w:vAlign w:val="bottom"/>
          </w:tcPr>
          <w:p>
            <w:pPr>
              <w:rPr>
                <w:rFonts w:eastAsia="Calibri"/>
                <w:sz w:val="24"/>
              </w:rPr>
            </w:pPr>
          </w:p>
        </w:tc>
        <w:tc>
          <w:tcPr>
            <w:tcW w:w="974" w:type="dxa"/>
            <w:tcBorders>
              <w:top w:val="nil"/>
              <w:left w:val="nil"/>
              <w:bottom w:val="nil"/>
              <w:right w:val="nil"/>
              <w:tl2br w:val="nil"/>
              <w:tr2bl w:val="nil"/>
            </w:tcBorders>
            <w:noWrap/>
            <w:vAlign w:val="center"/>
          </w:tcPr>
          <w:p>
            <w:pPr>
              <w:rPr>
                <w:rFonts w:ascii="宋体"/>
                <w:sz w:val="20"/>
              </w:rPr>
            </w:pPr>
          </w:p>
        </w:tc>
        <w:tc>
          <w:tcPr>
            <w:tcW w:w="1124" w:type="dxa"/>
            <w:tcBorders>
              <w:top w:val="nil"/>
              <w:left w:val="nil"/>
              <w:bottom w:val="nil"/>
              <w:right w:val="nil"/>
              <w:tl2br w:val="nil"/>
              <w:tr2bl w:val="nil"/>
            </w:tcBorders>
            <w:noWrap/>
            <w:vAlign w:val="bottom"/>
          </w:tcPr>
          <w:p>
            <w:pPr>
              <w:rPr>
                <w:rFonts w:eastAsia="Calibri"/>
                <w:sz w:val="24"/>
              </w:rPr>
            </w:pPr>
          </w:p>
        </w:tc>
        <w:tc>
          <w:tcPr>
            <w:tcW w:w="1124" w:type="dxa"/>
            <w:tcBorders>
              <w:top w:val="nil"/>
              <w:left w:val="nil"/>
              <w:bottom w:val="nil"/>
              <w:right w:val="nil"/>
              <w:tl2br w:val="nil"/>
              <w:tr2bl w:val="nil"/>
            </w:tcBorders>
            <w:noWrap/>
            <w:vAlign w:val="bottom"/>
          </w:tcPr>
          <w:p>
            <w:pPr>
              <w:rPr>
                <w:rFonts w:eastAsia="Calibri"/>
                <w:sz w:val="24"/>
              </w:rPr>
            </w:pPr>
          </w:p>
        </w:tc>
        <w:tc>
          <w:tcPr>
            <w:tcW w:w="1124" w:type="dxa"/>
            <w:tcBorders>
              <w:top w:val="nil"/>
              <w:left w:val="nil"/>
              <w:bottom w:val="nil"/>
              <w:right w:val="nil"/>
              <w:tl2br w:val="nil"/>
              <w:tr2bl w:val="nil"/>
            </w:tcBorders>
            <w:noWrap/>
            <w:vAlign w:val="bottom"/>
          </w:tcPr>
          <w:p>
            <w:pPr>
              <w:rPr>
                <w:rFonts w:eastAsia="Calibri"/>
                <w:sz w:val="24"/>
              </w:rPr>
            </w:pPr>
          </w:p>
        </w:tc>
        <w:tc>
          <w:tcPr>
            <w:tcW w:w="1563" w:type="dxa"/>
            <w:tcBorders>
              <w:top w:val="nil"/>
              <w:left w:val="nil"/>
              <w:bottom w:val="nil"/>
              <w:right w:val="nil"/>
              <w:tl2br w:val="nil"/>
              <w:tr2bl w:val="nil"/>
            </w:tcBorders>
            <w:noWrap/>
            <w:vAlign w:val="bottom"/>
          </w:tcPr>
          <w:p>
            <w:pPr>
              <w:rPr>
                <w:rFonts w:eastAsia="Calibri"/>
                <w:sz w:val="24"/>
              </w:rPr>
            </w:pPr>
          </w:p>
        </w:tc>
        <w:tc>
          <w:tcPr>
            <w:tcW w:w="1261" w:type="dxa"/>
            <w:tcBorders>
              <w:top w:val="nil"/>
              <w:left w:val="nil"/>
              <w:bottom w:val="nil"/>
              <w:right w:val="nil"/>
              <w:tl2br w:val="nil"/>
              <w:tr2bl w:val="nil"/>
            </w:tcBorders>
            <w:noWrap/>
            <w:vAlign w:val="bottom"/>
          </w:tcPr>
          <w:p>
            <w:pPr>
              <w:rPr>
                <w:rFonts w:eastAsia="Calibri"/>
                <w:sz w:val="24"/>
              </w:rPr>
            </w:pPr>
          </w:p>
        </w:tc>
        <w:tc>
          <w:tcPr>
            <w:tcW w:w="944" w:type="dxa"/>
            <w:tcBorders>
              <w:top w:val="nil"/>
              <w:left w:val="nil"/>
              <w:bottom w:val="nil"/>
              <w:right w:val="nil"/>
              <w:tl2br w:val="nil"/>
              <w:tr2bl w:val="nil"/>
            </w:tcBorders>
            <w:noWrap/>
            <w:vAlign w:val="bottom"/>
          </w:tcPr>
          <w:p>
            <w:pPr>
              <w:rPr>
                <w:rFonts w:eastAsia="Calibri"/>
                <w:sz w:val="24"/>
              </w:rPr>
            </w:pPr>
          </w:p>
        </w:tc>
        <w:tc>
          <w:tcPr>
            <w:tcW w:w="1154" w:type="dxa"/>
            <w:tcBorders>
              <w:top w:val="nil"/>
              <w:left w:val="nil"/>
              <w:bottom w:val="nil"/>
              <w:right w:val="nil"/>
              <w:tl2br w:val="nil"/>
              <w:tr2bl w:val="nil"/>
            </w:tcBorders>
            <w:noWrap/>
            <w:vAlign w:val="bottom"/>
          </w:tcPr>
          <w:p>
            <w:pPr>
              <w:rPr>
                <w:rFonts w:eastAsia="Calibri"/>
                <w:sz w:val="24"/>
              </w:rPr>
            </w:pPr>
          </w:p>
        </w:tc>
        <w:tc>
          <w:tcPr>
            <w:tcW w:w="1054" w:type="dxa"/>
            <w:tcBorders>
              <w:top w:val="nil"/>
              <w:left w:val="nil"/>
              <w:bottom w:val="nil"/>
              <w:right w:val="nil"/>
              <w:tl2br w:val="nil"/>
              <w:tr2bl w:val="nil"/>
            </w:tcBorders>
            <w:noWrap/>
            <w:vAlign w:val="bottom"/>
          </w:tcPr>
          <w:p>
            <w:pPr>
              <w:rPr>
                <w:rFonts w:eastAsia="Calibri"/>
                <w:sz w:val="24"/>
              </w:rPr>
            </w:pPr>
          </w:p>
        </w:tc>
        <w:tc>
          <w:tcPr>
            <w:tcW w:w="1260" w:type="dxa"/>
            <w:tcBorders>
              <w:top w:val="nil"/>
              <w:left w:val="nil"/>
              <w:bottom w:val="nil"/>
              <w:right w:val="nil"/>
              <w:tl2br w:val="nil"/>
              <w:tr2bl w:val="nil"/>
            </w:tcBorders>
            <w:noWrap/>
            <w:vAlign w:val="bottom"/>
          </w:tcPr>
          <w:p>
            <w:pPr>
              <w:rPr>
                <w:rFonts w:eastAsia="Calibri"/>
                <w:sz w:val="24"/>
              </w:rPr>
            </w:pPr>
          </w:p>
        </w:tc>
        <w:tc>
          <w:tcPr>
            <w:tcW w:w="1364" w:type="dxa"/>
            <w:tcBorders>
              <w:top w:val="nil"/>
              <w:left w:val="nil"/>
              <w:bottom w:val="nil"/>
              <w:right w:val="nil"/>
              <w:tl2br w:val="nil"/>
              <w:tr2bl w:val="nil"/>
            </w:tcBorders>
            <w:noWrap/>
            <w:vAlign w:val="center"/>
          </w:tcPr>
          <w:p>
            <w:pPr>
              <w:jc w:val="right"/>
              <w:rPr>
                <w:rFonts w:ascii="宋体"/>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2</w:t>
            </w:r>
          </w:p>
        </w:tc>
      </w:tr>
      <w:tr>
        <w:trPr>
          <w:trHeight w:val="704"/>
        </w:trPr>
        <w:tc>
          <w:tcPr>
            <w:tcW w:w="12646" w:type="dxa"/>
            <w:gridSpan w:val="11"/>
            <w:tcBorders>
              <w:top w:val="nil"/>
              <w:left w:val="nil"/>
              <w:bottom w:val="nil"/>
              <w:right w:val="nil"/>
              <w:tl2br w:val="nil"/>
              <w:tr2bl w:val="nil"/>
            </w:tcBorders>
            <w:noWrap/>
            <w:vAlign w:val="center"/>
          </w:tcPr>
          <w:p>
            <w:pPr>
              <w:jc w:val="center"/>
              <w:rPr>
                <w:rFonts w:ascii="宋体"/>
                <w:b/>
                <w:sz w:val="48"/>
              </w:rPr>
            </w:pPr>
            <w:r>
              <w:rPr>
                <w:rFonts w:ascii="宋体"/>
                <w:b/>
                <w:sz w:val="48"/>
              </w:rPr>
              <w:t xml:space="preserve">     部门收入总表</w:t>
            </w:r>
          </w:p>
        </w:tc>
        <w:tc>
          <w:tcPr>
            <w:tcW w:w="1364" w:type="dxa"/>
            <w:tcBorders>
              <w:top w:val="nil"/>
              <w:left w:val="nil"/>
              <w:bottom w:val="nil"/>
              <w:right w:val="nil"/>
              <w:tl2br w:val="nil"/>
              <w:tr2bl w:val="nil"/>
            </w:tcBorders>
            <w:noWrap/>
            <w:vAlign w:val="bottom"/>
          </w:tcPr>
          <w:p>
            <w:pPr>
              <w:rPr>
                <w:rFonts w:eastAsia="Calibri"/>
                <w:sz w:val="24"/>
              </w:rPr>
            </w:pPr>
          </w:p>
        </w:tc>
      </w:tr>
      <w:tr>
        <w:trPr>
          <w:trHeight w:val="284"/>
        </w:trPr>
        <w:tc>
          <w:tcPr>
            <w:tcW w:w="11386" w:type="dxa"/>
            <w:gridSpan w:val="10"/>
            <w:tcBorders>
              <w:top w:val="nil"/>
              <w:left w:val="nil"/>
              <w:bottom w:val="single" w:sz="6" w:space="0" w:color="000000"/>
              <w:right w:val="nil"/>
              <w:tl2br w:val="nil"/>
              <w:tr2bl w:val="nil"/>
            </w:tcBorders>
            <w:noWrap/>
            <w:vAlign w:val="center"/>
          </w:tcPr>
          <w:p>
            <w:pPr>
              <w:rPr>
                <w:rFonts w:ascii="宋体"/>
                <w:color w:val="000000"/>
                <w:sz w:val="16"/>
              </w:rPr>
            </w:pPr>
            <w:r>
              <w:rPr>
                <w:rFonts w:ascii="宋体"/>
                <w:color w:val="000000"/>
                <w:sz w:val="16"/>
              </w:rPr>
              <w:t>单位：中华人民共和国</w:t>
            </w:r>
            <w:r>
              <w:rPr>
                <w:rFonts w:ascii="宋体" w:hint="eastAsia"/>
                <w:color w:val="000000"/>
                <w:sz w:val="16"/>
              </w:rPr>
              <w:t>滨州海关</w:t>
            </w:r>
          </w:p>
        </w:tc>
        <w:tc>
          <w:tcPr>
            <w:tcW w:w="2624" w:type="dxa"/>
            <w:gridSpan w:val="2"/>
            <w:tcBorders>
              <w:top w:val="nil"/>
              <w:left w:val="nil"/>
              <w:bottom w:val="nil"/>
              <w:right w:val="nil"/>
              <w:tl2br w:val="nil"/>
              <w:tr2bl w:val="nil"/>
            </w:tcBorders>
            <w:noWrap/>
            <w:vAlign w:val="center"/>
          </w:tcPr>
          <w:p>
            <w:pPr>
              <w:jc w:val="right"/>
              <w:rPr>
                <w:rFonts w:ascii="宋体"/>
                <w:color w:val="000000"/>
                <w:sz w:val="16"/>
              </w:rPr>
            </w:pPr>
            <w:r>
              <w:rPr>
                <w:rFonts w:ascii="宋体"/>
                <w:color w:val="000000"/>
                <w:sz w:val="16"/>
              </w:rPr>
              <w:t>单位：万元</w:t>
            </w:r>
          </w:p>
        </w:tc>
      </w:tr>
      <w:tr>
        <w:trPr>
          <w:trHeight w:val="359"/>
        </w:trPr>
        <w:tc>
          <w:tcPr>
            <w:tcW w:w="10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合计</w:t>
            </w:r>
          </w:p>
        </w:tc>
        <w:tc>
          <w:tcPr>
            <w:tcW w:w="97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上年结转</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一般公共预算拨款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政府性基金预算拨款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国有资本经营预算拨款</w:t>
            </w:r>
          </w:p>
        </w:tc>
        <w:tc>
          <w:tcPr>
            <w:tcW w:w="282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事业收入</w:t>
            </w:r>
          </w:p>
        </w:tc>
        <w:tc>
          <w:tcPr>
            <w:tcW w:w="94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事业单位经营收入</w:t>
            </w:r>
          </w:p>
        </w:tc>
        <w:tc>
          <w:tcPr>
            <w:tcW w:w="11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上级补助</w:t>
              <w:br/>
              <w:t>收入</w:t>
            </w:r>
          </w:p>
        </w:tc>
        <w:tc>
          <w:tcPr>
            <w:tcW w:w="10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附属单位</w:t>
              <w:br/>
              <w:t>上缴收入</w:t>
            </w:r>
          </w:p>
        </w:tc>
        <w:tc>
          <w:tcPr>
            <w:tcW w:w="126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其他收入</w:t>
            </w:r>
          </w:p>
        </w:tc>
        <w:tc>
          <w:tcPr>
            <w:tcW w:w="13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6"/>
              <w:jc w:val="center"/>
              <w:rPr>
                <w:rFonts w:ascii="宋体"/>
                <w:color w:val="000000"/>
                <w:sz w:val="16"/>
              </w:rPr>
            </w:pPr>
            <w:r>
              <w:rPr>
                <w:rFonts w:ascii="宋体"/>
                <w:color w:val="000000"/>
                <w:sz w:val="16"/>
              </w:rPr>
              <w:t>使用非财政拨款结余</w:t>
            </w:r>
          </w:p>
        </w:tc>
      </w:tr>
      <w:tr>
        <w:trPr>
          <w:trHeight w:val="539"/>
        </w:trPr>
        <w:tc>
          <w:tcPr>
            <w:tcW w:w="106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金额</w:t>
            </w:r>
          </w:p>
        </w:tc>
        <w:tc>
          <w:tcPr>
            <w:tcW w:w="12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其中：财政专户管理资金</w:t>
            </w:r>
          </w:p>
        </w:tc>
        <w:tc>
          <w:tcPr>
            <w:tcW w:w="94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26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36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674"/>
        </w:trPr>
        <w:tc>
          <w:tcPr>
            <w:tcW w:w="10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2424.62</w:t>
            </w:r>
          </w:p>
        </w:tc>
        <w:tc>
          <w:tcPr>
            <w:tcW w:w="9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714.21</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1160.41</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12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11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1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550.00</w:t>
            </w:r>
          </w:p>
        </w:tc>
        <w:tc>
          <w:tcPr>
            <w:tcW w:w="13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07"/>
        <w:gridCol w:w="2333"/>
        <w:gridCol w:w="799"/>
        <w:gridCol w:w="966"/>
        <w:gridCol w:w="866"/>
        <w:gridCol w:w="849"/>
        <w:gridCol w:w="954"/>
        <w:gridCol w:w="847"/>
      </w:tblGrid>
      <w:tr>
        <w:trPr>
          <w:trHeight w:val="314"/>
        </w:trPr>
        <w:tc>
          <w:tcPr>
            <w:tcW w:w="532" w:type="pct"/>
            <w:tcBorders>
              <w:top w:val="nil"/>
              <w:left w:val="nil"/>
              <w:bottom w:val="nil"/>
              <w:right w:val="nil"/>
              <w:tl2br w:val="nil"/>
              <w:tr2bl w:val="nil"/>
            </w:tcBorders>
            <w:noWrap/>
            <w:vAlign w:val="bottom"/>
          </w:tcPr>
          <w:p>
            <w:pPr>
              <w:rPr>
                <w:rFonts w:eastAsia="Calibri"/>
                <w:sz w:val="24"/>
              </w:rPr>
            </w:pPr>
          </w:p>
        </w:tc>
        <w:tc>
          <w:tcPr>
            <w:tcW w:w="1368" w:type="pct"/>
            <w:tcBorders>
              <w:top w:val="nil"/>
              <w:left w:val="nil"/>
              <w:bottom w:val="nil"/>
              <w:right w:val="nil"/>
              <w:tl2br w:val="nil"/>
              <w:tr2bl w:val="nil"/>
            </w:tcBorders>
            <w:noWrap/>
            <w:vAlign w:val="bottom"/>
          </w:tcPr>
          <w:p>
            <w:pPr>
              <w:rPr>
                <w:rFonts w:eastAsia="Calibri"/>
                <w:sz w:val="24"/>
              </w:rPr>
            </w:pPr>
          </w:p>
        </w:tc>
        <w:tc>
          <w:tcPr>
            <w:tcW w:w="469" w:type="pct"/>
            <w:tcBorders>
              <w:top w:val="nil"/>
              <w:left w:val="nil"/>
              <w:bottom w:val="nil"/>
              <w:right w:val="nil"/>
              <w:tl2br w:val="nil"/>
              <w:tr2bl w:val="nil"/>
            </w:tcBorders>
            <w:noWrap/>
            <w:vAlign w:val="bottom"/>
          </w:tcPr>
          <w:p>
            <w:pPr>
              <w:rPr>
                <w:rFonts w:eastAsia="Calibri"/>
                <w:sz w:val="24"/>
              </w:rPr>
            </w:pPr>
          </w:p>
        </w:tc>
        <w:tc>
          <w:tcPr>
            <w:tcW w:w="567" w:type="pct"/>
            <w:tcBorders>
              <w:top w:val="nil"/>
              <w:left w:val="nil"/>
              <w:bottom w:val="nil"/>
              <w:right w:val="nil"/>
              <w:tl2br w:val="nil"/>
              <w:tr2bl w:val="nil"/>
            </w:tcBorders>
            <w:noWrap/>
            <w:vAlign w:val="bottom"/>
          </w:tcPr>
          <w:p>
            <w:pPr>
              <w:rPr>
                <w:rFonts w:eastAsia="Calibri"/>
                <w:sz w:val="24"/>
              </w:rPr>
            </w:pPr>
          </w:p>
        </w:tc>
        <w:tc>
          <w:tcPr>
            <w:tcW w:w="508" w:type="pct"/>
            <w:tcBorders>
              <w:top w:val="nil"/>
              <w:left w:val="nil"/>
              <w:bottom w:val="nil"/>
              <w:right w:val="nil"/>
              <w:tl2br w:val="nil"/>
              <w:tr2bl w:val="nil"/>
            </w:tcBorders>
            <w:noWrap/>
            <w:vAlign w:val="bottom"/>
          </w:tcPr>
          <w:p>
            <w:pPr>
              <w:rPr>
                <w:rFonts w:eastAsia="Calibri"/>
                <w:sz w:val="24"/>
              </w:rPr>
            </w:pPr>
          </w:p>
        </w:tc>
        <w:tc>
          <w:tcPr>
            <w:tcW w:w="498" w:type="pct"/>
            <w:tcBorders>
              <w:top w:val="nil"/>
              <w:left w:val="nil"/>
              <w:bottom w:val="nil"/>
              <w:right w:val="nil"/>
              <w:tl2br w:val="nil"/>
              <w:tr2bl w:val="nil"/>
            </w:tcBorders>
            <w:noWrap/>
            <w:vAlign w:val="bottom"/>
          </w:tcPr>
          <w:p>
            <w:pPr>
              <w:rPr>
                <w:rFonts w:eastAsia="Calibri"/>
                <w:sz w:val="24"/>
              </w:rPr>
            </w:pPr>
          </w:p>
        </w:tc>
        <w:tc>
          <w:tcPr>
            <w:tcW w:w="1054" w:type="pct"/>
            <w:gridSpan w:val="2"/>
            <w:tcBorders>
              <w:top w:val="nil"/>
              <w:left w:val="nil"/>
              <w:bottom w:val="nil"/>
              <w:right w:val="nil"/>
              <w:tl2br w:val="nil"/>
              <w:tr2bl w:val="nil"/>
            </w:tcBorders>
            <w:noWrap/>
            <w:vAlign w:val="bottom"/>
          </w:tcPr>
          <w:p>
            <w:pPr>
              <w:pStyle w:val="39"/>
              <w:jc w:val="right"/>
              <w:rPr>
                <w:rFonts w:ascii="宋体"/>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3</w:t>
            </w:r>
          </w:p>
        </w:tc>
      </w:tr>
      <w:tr>
        <w:trPr>
          <w:trHeight w:val="614"/>
        </w:trPr>
        <w:tc>
          <w:tcPr>
            <w:tcW w:w="5000" w:type="pct"/>
            <w:gridSpan w:val="8"/>
            <w:tcBorders>
              <w:top w:val="nil"/>
              <w:left w:val="nil"/>
              <w:bottom w:val="nil"/>
              <w:right w:val="nil"/>
              <w:tl2br w:val="nil"/>
              <w:tr2bl w:val="nil"/>
            </w:tcBorders>
            <w:noWrap/>
            <w:vAlign w:val="center"/>
          </w:tcPr>
          <w:p>
            <w:pPr>
              <w:jc w:val="center"/>
              <w:rPr>
                <w:rFonts w:ascii="宋体"/>
                <w:b/>
                <w:color w:val="000000"/>
                <w:sz w:val="48"/>
              </w:rPr>
            </w:pPr>
            <w:r>
              <w:rPr>
                <w:rFonts w:ascii="宋体"/>
                <w:b/>
                <w:color w:val="000000"/>
                <w:sz w:val="48"/>
              </w:rPr>
              <w:t>部门支出总表</w:t>
            </w:r>
          </w:p>
        </w:tc>
      </w:tr>
      <w:tr>
        <w:trPr>
          <w:trHeight w:val="314"/>
        </w:trPr>
        <w:tc>
          <w:tcPr>
            <w:tcW w:w="4503" w:type="pct"/>
            <w:gridSpan w:val="7"/>
            <w:tcBorders>
              <w:top w:val="nil"/>
              <w:left w:val="nil"/>
              <w:bottom w:val="nil"/>
              <w:right w:val="nil"/>
              <w:tl2br w:val="nil"/>
              <w:tr2bl w:val="nil"/>
            </w:tcBorders>
            <w:noWrap/>
            <w:vAlign w:val="center"/>
          </w:tcPr>
          <w:p>
            <w:pPr>
              <w:rPr>
                <w:rFonts w:ascii="宋体"/>
                <w:color w:val="000000"/>
                <w:sz w:val="16"/>
              </w:rPr>
            </w:pPr>
            <w:r>
              <w:rPr>
                <w:rFonts w:ascii="宋体"/>
                <w:color w:val="000000"/>
                <w:sz w:val="16"/>
              </w:rPr>
              <w:t>单位：中华人民共和国</w:t>
            </w:r>
            <w:r>
              <w:rPr>
                <w:rFonts w:ascii="宋体" w:hint="eastAsia"/>
                <w:color w:val="000000"/>
                <w:sz w:val="16"/>
              </w:rPr>
              <w:t>滨州</w:t>
            </w:r>
            <w:r>
              <w:rPr>
                <w:rFonts w:ascii="宋体"/>
                <w:color w:val="000000"/>
                <w:sz w:val="16"/>
              </w:rPr>
              <w:t>海关</w:t>
            </w:r>
          </w:p>
        </w:tc>
        <w:tc>
          <w:tcPr>
            <w:tcW w:w="496" w:type="pct"/>
            <w:tcBorders>
              <w:top w:val="nil"/>
              <w:left w:val="nil"/>
              <w:bottom w:val="nil"/>
              <w:right w:val="nil"/>
              <w:tl2br w:val="nil"/>
              <w:tr2bl w:val="nil"/>
            </w:tcBorders>
            <w:noWrap/>
            <w:vAlign w:val="center"/>
          </w:tcPr>
          <w:p>
            <w:pPr>
              <w:jc w:val="right"/>
              <w:rPr>
                <w:rFonts w:ascii="宋体"/>
                <w:color w:val="000000"/>
                <w:sz w:val="16"/>
              </w:rPr>
            </w:pPr>
            <w:r>
              <w:rPr>
                <w:rFonts w:ascii="宋体"/>
                <w:color w:val="000000"/>
                <w:sz w:val="16"/>
              </w:rPr>
              <w:t>单位：万元</w:t>
            </w:r>
          </w:p>
        </w:tc>
      </w:tr>
      <w:tr>
        <w:trPr>
          <w:trHeight w:val="86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科目代码</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科目名称</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合计</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基本支出</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项目支出</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上缴上级支出</w:t>
            </w: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事业单位经营支出</w:t>
            </w: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16"/>
              </w:rPr>
            </w:pPr>
            <w:r>
              <w:rPr>
                <w:rFonts w:ascii="宋体"/>
                <w:color w:val="000000"/>
                <w:sz w:val="16"/>
              </w:rPr>
              <w:t>对附属单位补助支出</w:t>
            </w: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一般公共服务支出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hint="eastAsia"/>
                <w:sz w:val="16"/>
              </w:rPr>
            </w:pPr>
            <w:r>
              <w:rPr>
                <w:rFonts w:ascii="宋体"/>
                <w:sz w:val="16"/>
              </w:rPr>
              <w:t>1928.02</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1861.54</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66.48</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20109</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海关事务</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1928.02</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1861.54</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66.48</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2010901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行政运行</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1861.54</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1861.54</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hint="eastAsia"/>
                <w:sz w:val="16"/>
              </w:rPr>
              <w:t>2010902</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hint="eastAsia"/>
                <w:sz w:val="16"/>
              </w:rPr>
              <w:t>一般行政管理事</w:t>
            </w:r>
            <w:r>
              <w:rPr>
                <w:rFonts w:ascii="宋体"/>
                <w:sz w:val="16"/>
              </w:rPr>
              <w:t>务</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0.5</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0.5</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2010905</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缉私办案</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4.5</w:t>
            </w:r>
            <w:r>
              <w:rPr>
                <w:rFonts w:ascii="宋体" w:hint="eastAsia"/>
                <w:sz w:val="16"/>
              </w:rPr>
              <w:t>0</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4.5</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2010909</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海关关务</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43.48</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43.48</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2010911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海关监管</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2.00</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hint="eastAsia"/>
                <w:sz w:val="16"/>
              </w:rPr>
              <w:t>2.00</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2010912</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检验检疫</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16.00</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16.00</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208</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社会保障和就业支出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221.90</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221.90</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20805</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行政事业单位养老支出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221.90</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221.90</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2080501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行政单位离退休</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8.16</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8.16</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41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2080505</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机关事业单位基本养老保险缴费支出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125.57</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125.57</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777"/>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2080506</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机关事业单位职业年金缴费支出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88.17</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88.17</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210</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卫生健康支出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76.26</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76.26</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21011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行政事业单位医疗</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76.26</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76.26</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2101101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行政单位医疗</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57.69</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57.69</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2101103</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公务员医疗补助</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15.85</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15.85</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hint="eastAsia"/>
                <w:sz w:val="16"/>
              </w:rPr>
              <w:t>2101199</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hint="eastAsia"/>
                <w:sz w:val="16"/>
              </w:rPr>
              <w:t>其他行政事业单位医疗支出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2.72</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2.72</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221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住房保障支出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198.44</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198.44</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22102</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住房改革支出</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198.44</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198.44</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2210201</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住房公积金</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156.82</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156.82</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532"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2210203</w:t>
            </w:r>
          </w:p>
        </w:tc>
        <w:tc>
          <w:tcPr>
            <w:tcW w:w="1368"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6"/>
              </w:rPr>
            </w:pPr>
            <w:r>
              <w:rPr>
                <w:rFonts w:ascii="宋体"/>
                <w:sz w:val="16"/>
              </w:rPr>
              <w:t>购房补贴</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41.62</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r>
              <w:rPr>
                <w:rFonts w:ascii="宋体"/>
                <w:sz w:val="16"/>
              </w:rPr>
              <w:t>41.62</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6"/>
              </w:rPr>
            </w:pPr>
          </w:p>
        </w:tc>
      </w:tr>
      <w:tr>
        <w:trPr>
          <w:trHeight w:val="299"/>
        </w:trPr>
        <w:tc>
          <w:tcPr>
            <w:tcW w:w="190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sz w:val="16"/>
              </w:rPr>
            </w:pPr>
            <w:r>
              <w:rPr>
                <w:rFonts w:ascii="宋体"/>
                <w:b/>
                <w:sz w:val="16"/>
              </w:rPr>
              <w:t>合计</w:t>
            </w:r>
          </w:p>
        </w:tc>
        <w:tc>
          <w:tcPr>
            <w:tcW w:w="4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b/>
                <w:sz w:val="16"/>
              </w:rPr>
            </w:pPr>
            <w:r>
              <w:rPr>
                <w:rFonts w:ascii="宋体"/>
                <w:b/>
                <w:sz w:val="16"/>
              </w:rPr>
              <w:t>2424.62</w:t>
            </w:r>
          </w:p>
        </w:tc>
        <w:tc>
          <w:tcPr>
            <w:tcW w:w="56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b/>
                <w:sz w:val="16"/>
              </w:rPr>
            </w:pPr>
            <w:r>
              <w:rPr>
                <w:rFonts w:ascii="宋体"/>
                <w:b/>
                <w:sz w:val="16"/>
              </w:rPr>
              <w:t>2358.14</w:t>
            </w:r>
          </w:p>
        </w:tc>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b/>
                <w:sz w:val="16"/>
              </w:rPr>
            </w:pPr>
            <w:r>
              <w:rPr>
                <w:rFonts w:ascii="宋体"/>
                <w:b/>
                <w:sz w:val="16"/>
              </w:rPr>
              <w:t>66.48</w:t>
            </w:r>
          </w:p>
        </w:tc>
        <w:tc>
          <w:tcPr>
            <w:tcW w:w="4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b/>
                <w:sz w:val="16"/>
              </w:rPr>
            </w:pPr>
          </w:p>
        </w:tc>
        <w:tc>
          <w:tcPr>
            <w:tcW w:w="557"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b/>
                <w:sz w:val="16"/>
              </w:rPr>
            </w:pPr>
          </w:p>
        </w:tc>
        <w:tc>
          <w:tcPr>
            <w:tcW w:w="496"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b/>
                <w:sz w:val="16"/>
              </w:rPr>
            </w:pP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1401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01"/>
        <w:gridCol w:w="3505"/>
        <w:gridCol w:w="3503"/>
        <w:gridCol w:w="3503"/>
      </w:tblGrid>
      <w:tr>
        <w:trPr>
          <w:trHeight w:val="335"/>
        </w:trPr>
        <w:tc>
          <w:tcPr>
            <w:tcW w:w="3501" w:type="dxa"/>
            <w:tcBorders>
              <w:top w:val="nil"/>
              <w:left w:val="nil"/>
              <w:bottom w:val="nil"/>
              <w:right w:val="nil"/>
              <w:tl2br w:val="nil"/>
              <w:tr2bl w:val="nil"/>
            </w:tcBorders>
            <w:noWrap/>
            <w:vAlign w:val="bottom"/>
          </w:tcPr>
          <w:p>
            <w:pPr>
              <w:rPr>
                <w:rFonts w:eastAsia="Calibri"/>
                <w:sz w:val="24"/>
              </w:rPr>
            </w:pPr>
          </w:p>
        </w:tc>
        <w:tc>
          <w:tcPr>
            <w:tcW w:w="3504" w:type="dxa"/>
            <w:tcBorders>
              <w:top w:val="nil"/>
              <w:left w:val="nil"/>
              <w:bottom w:val="nil"/>
              <w:right w:val="nil"/>
              <w:tl2br w:val="nil"/>
              <w:tr2bl w:val="nil"/>
            </w:tcBorders>
            <w:noWrap/>
            <w:vAlign w:val="bottom"/>
          </w:tcPr>
          <w:p>
            <w:pPr>
              <w:rPr>
                <w:rFonts w:eastAsia="Calibri"/>
                <w:sz w:val="24"/>
              </w:rPr>
            </w:pPr>
          </w:p>
        </w:tc>
        <w:tc>
          <w:tcPr>
            <w:tcW w:w="3503" w:type="dxa"/>
            <w:tcBorders>
              <w:top w:val="nil"/>
              <w:left w:val="nil"/>
              <w:bottom w:val="nil"/>
              <w:right w:val="nil"/>
              <w:tl2br w:val="nil"/>
              <w:tr2bl w:val="nil"/>
            </w:tcBorders>
            <w:noWrap/>
            <w:vAlign w:val="bottom"/>
          </w:tcPr>
          <w:p>
            <w:pPr>
              <w:rPr>
                <w:rFonts w:eastAsia="Calibri"/>
                <w:sz w:val="24"/>
              </w:rPr>
            </w:pPr>
          </w:p>
        </w:tc>
        <w:tc>
          <w:tcPr>
            <w:tcW w:w="3503" w:type="dxa"/>
            <w:tcBorders>
              <w:top w:val="nil"/>
              <w:left w:val="nil"/>
              <w:bottom w:val="nil"/>
              <w:right w:val="nil"/>
              <w:tl2br w:val="nil"/>
              <w:tr2bl w:val="nil"/>
            </w:tcBorders>
            <w:noWrap/>
            <w:vAlign w:val="center"/>
          </w:tcPr>
          <w:p>
            <w:pPr>
              <w:jc w:val="right"/>
              <w:rPr>
                <w:rFonts w:ascii="宋体"/>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4</w:t>
            </w:r>
          </w:p>
        </w:tc>
      </w:tr>
      <w:tr>
        <w:trPr>
          <w:trHeight w:val="670"/>
        </w:trPr>
        <w:tc>
          <w:tcPr>
            <w:tcW w:w="14011" w:type="dxa"/>
            <w:gridSpan w:val="4"/>
            <w:tcBorders>
              <w:top w:val="nil"/>
              <w:left w:val="nil"/>
              <w:bottom w:val="nil"/>
              <w:right w:val="nil"/>
              <w:tl2br w:val="nil"/>
              <w:tr2bl w:val="nil"/>
            </w:tcBorders>
            <w:noWrap/>
            <w:vAlign w:val="center"/>
          </w:tcPr>
          <w:p>
            <w:pPr>
              <w:jc w:val="center"/>
              <w:rPr>
                <w:rFonts w:ascii="宋体"/>
                <w:b/>
                <w:color w:val="000000"/>
                <w:sz w:val="48"/>
              </w:rPr>
            </w:pPr>
            <w:r>
              <w:rPr>
                <w:rFonts w:ascii="宋体"/>
                <w:b/>
                <w:color w:val="000000"/>
                <w:sz w:val="48"/>
              </w:rPr>
              <w:t>财政拨款收支总表</w:t>
            </w:r>
          </w:p>
        </w:tc>
      </w:tr>
      <w:tr>
        <w:trPr>
          <w:trHeight w:val="317"/>
        </w:trPr>
        <w:tc>
          <w:tcPr>
            <w:tcW w:w="10508" w:type="dxa"/>
            <w:gridSpan w:val="3"/>
            <w:tcBorders>
              <w:top w:val="nil"/>
              <w:left w:val="nil"/>
              <w:bottom w:val="nil"/>
              <w:right w:val="nil"/>
              <w:tl2br w:val="nil"/>
              <w:tr2bl w:val="nil"/>
            </w:tcBorders>
            <w:noWrap/>
            <w:vAlign w:val="center"/>
          </w:tcPr>
          <w:p>
            <w:pPr>
              <w:rPr>
                <w:rFonts w:ascii="宋体"/>
                <w:color w:val="000000"/>
                <w:sz w:val="20"/>
              </w:rPr>
            </w:pPr>
            <w:r>
              <w:rPr>
                <w:rFonts w:ascii="宋体"/>
                <w:color w:val="000000"/>
                <w:sz w:val="20"/>
              </w:rPr>
              <w:t>单位：中华人民共和国</w:t>
            </w:r>
            <w:r>
              <w:rPr>
                <w:rFonts w:ascii="宋体" w:hint="eastAsia"/>
                <w:color w:val="000000"/>
                <w:sz w:val="20"/>
              </w:rPr>
              <w:t>滨州</w:t>
            </w:r>
            <w:r>
              <w:rPr>
                <w:rFonts w:ascii="宋体"/>
                <w:color w:val="000000"/>
                <w:sz w:val="20"/>
              </w:rPr>
              <w:t>海关</w:t>
            </w:r>
          </w:p>
        </w:tc>
        <w:tc>
          <w:tcPr>
            <w:tcW w:w="3503" w:type="dxa"/>
            <w:tcBorders>
              <w:top w:val="nil"/>
              <w:left w:val="nil"/>
              <w:bottom w:val="nil"/>
              <w:right w:val="nil"/>
              <w:tl2br w:val="nil"/>
              <w:tr2bl w:val="nil"/>
            </w:tcBorders>
            <w:noWrap/>
            <w:vAlign w:val="center"/>
          </w:tcPr>
          <w:p>
            <w:pPr>
              <w:jc w:val="right"/>
              <w:rPr>
                <w:rFonts w:ascii="宋体"/>
                <w:color w:val="000000"/>
                <w:sz w:val="20"/>
              </w:rPr>
            </w:pPr>
            <w:r>
              <w:rPr>
                <w:rFonts w:ascii="宋体"/>
                <w:color w:val="000000"/>
                <w:sz w:val="20"/>
              </w:rPr>
              <w:t>单位：万元</w:t>
            </w:r>
          </w:p>
        </w:tc>
      </w:tr>
      <w:tr>
        <w:trPr>
          <w:trHeight w:val="381"/>
        </w:trPr>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收入</w:t>
            </w:r>
          </w:p>
        </w:tc>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支出</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项目</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预算数</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项目</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预算数</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一、本年收入</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1160.41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ind w:leftChars="100" w:left="210"/>
              <w:rPr>
                <w:rFonts w:ascii="宋体" w:eastAsia="宋体"/>
                <w:sz w:val="18"/>
              </w:rPr>
            </w:pPr>
            <w:r>
              <w:rPr>
                <w:rFonts w:ascii="Times New Roman" w:eastAsia="宋体" w:hAnsi="Times New Roman" w:hint="eastAsia"/>
                <w:sz w:val="24"/>
                <w:szCs w:val="24"/>
              </w:rPr>
              <w:t>一、本年支出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1160.41</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1160.41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ind w:leftChars="100" w:left="210"/>
              <w:rPr>
                <w:rFonts w:ascii="宋体" w:eastAsia="宋体"/>
                <w:sz w:val="18"/>
              </w:rPr>
            </w:pPr>
            <w:r>
              <w:rPr>
                <w:rFonts w:ascii="Times New Roman" w:eastAsia="宋体" w:hAnsi="Times New Roman" w:hint="eastAsia"/>
                <w:sz w:val="24"/>
                <w:szCs w:val="24"/>
              </w:rPr>
              <w:t>（一）一般公共服务支出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870.58</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ind w:leftChars="100" w:left="210"/>
              <w:rPr>
                <w:rFonts w:ascii="宋体" w:eastAsia="宋体"/>
                <w:sz w:val="18"/>
              </w:rPr>
            </w:pPr>
            <w:r>
              <w:rPr>
                <w:rFonts w:ascii="Times New Roman" w:eastAsia="宋体" w:hAnsi="Times New Roman" w:hint="eastAsia"/>
                <w:sz w:val="24"/>
                <w:szCs w:val="24"/>
              </w:rPr>
              <w:t>（二）社会保障和就业支出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111.03</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ind w:leftChars="100" w:left="210"/>
              <w:rPr>
                <w:rFonts w:ascii="宋体" w:eastAsia="宋体"/>
                <w:sz w:val="18"/>
              </w:rPr>
            </w:pPr>
            <w:r>
              <w:rPr>
                <w:rFonts w:ascii="Times New Roman" w:eastAsia="宋体" w:hAnsi="Times New Roman" w:hint="eastAsia"/>
                <w:sz w:val="24"/>
                <w:szCs w:val="24"/>
              </w:rPr>
              <w:t>（三）卫生健康支出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42.56</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ind w:leftChars="100" w:left="210"/>
              <w:rPr>
                <w:rFonts w:ascii="宋体" w:eastAsia="宋体"/>
                <w:sz w:val="18"/>
              </w:rPr>
            </w:pPr>
            <w:r>
              <w:rPr>
                <w:rFonts w:ascii="Times New Roman" w:eastAsia="宋体" w:hAnsi="Times New Roman" w:hint="eastAsia"/>
                <w:sz w:val="24"/>
                <w:szCs w:val="24"/>
              </w:rPr>
              <w:t>（四）住房保障支出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olor w:val="000000"/>
                <w:sz w:val="18"/>
              </w:rPr>
              <w:t>136.24</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二、上年结转</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ind w:leftChars="100" w:left="210"/>
              <w:rPr>
                <w:rFonts w:ascii="宋体" w:eastAsia="宋体"/>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r>
              <w:rPr>
                <w:rFonts w:ascii="宋体"/>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r>
      <w:tr>
        <w:trPr>
          <w:trHeight w:val="41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olor w:val="000000"/>
                <w:sz w:val="20"/>
              </w:rPr>
            </w:pPr>
            <w:r>
              <w:rPr>
                <w:rFonts w:ascii="宋体"/>
                <w:color w:val="000000"/>
                <w:sz w:val="20"/>
              </w:rPr>
              <w:t>收入总计</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color w:val="000000"/>
                <w:sz w:val="18"/>
              </w:rPr>
              <w:t>1160.41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20"/>
              </w:rPr>
            </w:pPr>
            <w:r>
              <w:rPr>
                <w:rFonts w:ascii="宋体"/>
                <w:sz w:val="20"/>
              </w:rPr>
              <w:t>支出总计</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20"/>
              </w:rPr>
            </w:pPr>
            <w:r>
              <w:rPr>
                <w:rFonts w:ascii="宋体"/>
                <w:color w:val="000000"/>
                <w:sz w:val="18"/>
              </w:rPr>
              <w:t>1160.41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3" w:type="dxa"/>
        <w:tblW w:w="148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20"/>
        <w:gridCol w:w="3000"/>
        <w:gridCol w:w="1080"/>
        <w:gridCol w:w="1080"/>
        <w:gridCol w:w="1080"/>
        <w:gridCol w:w="1080"/>
        <w:gridCol w:w="1080"/>
        <w:gridCol w:w="1080"/>
        <w:gridCol w:w="1080"/>
        <w:gridCol w:w="1080"/>
        <w:gridCol w:w="1080"/>
        <w:gridCol w:w="1080"/>
      </w:tblGrid>
      <w:tr>
        <w:trPr>
          <w:trHeight w:val="270"/>
        </w:trPr>
        <w:tc>
          <w:tcPr>
            <w:tcW w:w="14820" w:type="dxa"/>
            <w:gridSpan w:val="12"/>
            <w:tcBorders>
              <w:top w:val="nil"/>
              <w:left w:val="nil"/>
              <w:bottom w:val="nil"/>
              <w:right w:val="nil"/>
            </w:tcBorders>
            <w:shd w:val="clear" w:color="auto" w:fill="auto"/>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部门公开表5</w:t>
            </w:r>
          </w:p>
        </w:tc>
      </w:tr>
      <w:tr>
        <w:trPr>
          <w:trHeight w:val="450"/>
        </w:trPr>
        <w:tc>
          <w:tcPr>
            <w:tcW w:w="14820" w:type="dxa"/>
            <w:gridSpan w:val="12"/>
            <w:tcBorders>
              <w:top w:val="nil"/>
              <w:left w:val="nil"/>
              <w:bottom w:val="nil"/>
              <w:right w:val="nil"/>
            </w:tcBorders>
            <w:shd w:val="clear" w:color="auto" w:fill="auto"/>
            <w:vAlign w:val="center"/>
          </w:tcPr>
          <w:p>
            <w:pPr>
              <w:jc w:val="center"/>
              <w:rPr>
                <w:rFonts w:ascii="宋体" w:cs="宋体"/>
                <w:color w:val="000000"/>
                <w:kern w:val="0"/>
                <w:sz w:val="36"/>
                <w:szCs w:val="36"/>
              </w:rPr>
            </w:pPr>
            <w:r>
              <w:rPr>
                <w:rFonts w:ascii="宋体" w:cs="宋体" w:hint="eastAsia"/>
                <w:b/>
                <w:color w:val="000000"/>
                <w:sz w:val="48"/>
              </w:rPr>
              <w:t>一般公共预算支出表</w:t>
            </w:r>
          </w:p>
        </w:tc>
      </w:tr>
      <w:tr>
        <w:trPr>
          <w:trHeight w:val="285"/>
        </w:trPr>
        <w:tc>
          <w:tcPr>
            <w:tcW w:w="4020" w:type="dxa"/>
            <w:gridSpan w:val="2"/>
            <w:tcBorders>
              <w:top w:val="nil"/>
              <w:left w:val="nil"/>
              <w:bottom w:val="single" w:sz="8" w:space="0" w:color="auto"/>
              <w:right w:val="nil"/>
            </w:tcBorders>
            <w:shd w:val="clear" w:color="auto" w:fill="auto"/>
            <w:vAlign w:val="center"/>
          </w:tcPr>
          <w:p>
            <w:pPr>
              <w:widowControl/>
              <w:rPr>
                <w:rFonts w:ascii="宋体" w:cs="宋体"/>
                <w:color w:val="000000"/>
                <w:kern w:val="0"/>
                <w:sz w:val="16"/>
                <w:szCs w:val="16"/>
              </w:rPr>
            </w:pPr>
            <w:r>
              <w:rPr>
                <w:rFonts w:ascii="宋体" w:cs="宋体" w:hint="eastAsia"/>
                <w:color w:val="000000"/>
                <w:kern w:val="0"/>
                <w:sz w:val="16"/>
                <w:szCs w:val="16"/>
              </w:rPr>
              <w:t>单位：中华人民共和国滨州海关</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nil"/>
              <w:right w:val="nil"/>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单位：万元</w:t>
            </w:r>
          </w:p>
        </w:tc>
      </w:tr>
      <w:tr>
        <w:trPr>
          <w:trHeight w:val="90"/>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c>
          <w:tcPr>
            <w:tcW w:w="4320"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40"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300"/>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9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一般公共服务支出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751.64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751.64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870.58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804.10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66.48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870.58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118.94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15.82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118.94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15.82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海关事务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751.64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751.64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870.58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804.10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66.48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870.58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118.94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15.82</w:t>
            </w:r>
            <w:r>
              <w:rPr>
                <w:rFonts w:ascii="宋体" w:hint="eastAsia"/>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118.94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15.82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2010901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行政运行</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671.28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671.28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804.10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804.10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804.10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132.82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19.79</w:t>
            </w:r>
            <w:r>
              <w:rPr>
                <w:rFonts w:ascii="宋体" w:hint="eastAsia"/>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132.82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19.79</w:t>
            </w:r>
            <w:r>
              <w:rPr>
                <w:rFonts w:ascii="宋体" w:hint="eastAsia"/>
                <w:sz w:val="16"/>
                <w:szCs w:val="16"/>
              </w:rPr>
              <w:t xml:space="preserve"> </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hint="eastAsia"/>
                <w:sz w:val="16"/>
                <w:szCs w:val="16"/>
              </w:rPr>
              <w:t>2010902</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hint="eastAsia"/>
                <w:sz w:val="16"/>
                <w:szCs w:val="16"/>
              </w:rPr>
              <w:t>一般行政管理事</w:t>
            </w:r>
            <w:r>
              <w:rPr>
                <w:rFonts w:ascii="宋体"/>
                <w:sz w:val="16"/>
                <w:szCs w:val="16"/>
              </w:rPr>
              <w:t>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-50.00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2010905</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缉私办案</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4.</w:t>
            </w:r>
            <w:r>
              <w:rPr>
                <w:rFonts w:ascii="宋体"/>
                <w:sz w:val="16"/>
                <w:szCs w:val="16"/>
              </w:rPr>
              <w:t>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4.</w:t>
            </w:r>
            <w:r>
              <w:rPr>
                <w:rFonts w:ascii="宋体"/>
                <w:sz w:val="16"/>
                <w:szCs w:val="16"/>
              </w:rPr>
              <w:t>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12.50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12.50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2010909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海关关务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38.86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38.86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11.89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11.89</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2010911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海关监管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2.00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2.00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2.00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2.00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2.00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sz w:val="16"/>
                <w:szCs w:val="16"/>
              </w:rPr>
            </w:pPr>
            <w:r>
              <w:rPr>
                <w:rFonts w:ascii="宋体"/>
                <w:sz w:val="16"/>
                <w:szCs w:val="16"/>
              </w:rPr>
              <w:t>2010912</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sz w:val="16"/>
                <w:szCs w:val="16"/>
              </w:rPr>
            </w:pPr>
            <w:r>
              <w:rPr>
                <w:rFonts w:ascii="宋体"/>
                <w:sz w:val="16"/>
                <w:szCs w:val="16"/>
              </w:rPr>
              <w:t>检验检疫</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34.50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34.50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16.00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16.00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16.00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w:t>
            </w:r>
            <w:r>
              <w:rPr>
                <w:rFonts w:ascii="宋体"/>
                <w:sz w:val="16"/>
                <w:szCs w:val="16"/>
              </w:rPr>
              <w:t>18.5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w:t>
            </w:r>
            <w:r>
              <w:rPr>
                <w:rFonts w:ascii="宋体"/>
                <w:sz w:val="16"/>
                <w:szCs w:val="16"/>
              </w:rPr>
              <w:t>53.62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w:t>
            </w:r>
            <w:r>
              <w:rPr>
                <w:rFonts w:ascii="宋体"/>
                <w:sz w:val="16"/>
                <w:szCs w:val="16"/>
              </w:rPr>
              <w:t>18.5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w:t>
            </w:r>
            <w:r>
              <w:rPr>
                <w:rFonts w:ascii="宋体"/>
                <w:sz w:val="16"/>
                <w:szCs w:val="16"/>
              </w:rPr>
              <w:t>53.62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社会保障和就业支出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111.03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111.03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111.03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8.91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8.91</w:t>
            </w:r>
          </w:p>
        </w:tc>
      </w:tr>
      <w:tr>
        <w:trPr>
          <w:trHeight w:val="296"/>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行政事业单位养老支出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111.03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111.03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111.03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8.91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8.91</w:t>
            </w:r>
            <w:r>
              <w:rPr>
                <w:rFonts w:ascii="宋体" w:hint="eastAsia"/>
                <w:sz w:val="16"/>
                <w:szCs w:val="16"/>
              </w:rPr>
              <w:t xml:space="preserve"> </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行政单位离退休</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8.53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8.53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8.</w:t>
            </w:r>
            <w:r>
              <w:rPr>
                <w:rFonts w:ascii="宋体"/>
                <w:sz w:val="16"/>
                <w:szCs w:val="16"/>
              </w:rPr>
              <w:t>16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8.</w:t>
            </w:r>
            <w:r>
              <w:rPr>
                <w:rFonts w:ascii="宋体"/>
                <w:sz w:val="16"/>
                <w:szCs w:val="16"/>
              </w:rPr>
              <w:t>16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8.</w:t>
            </w:r>
            <w:r>
              <w:rPr>
                <w:rFonts w:ascii="宋体"/>
                <w:sz w:val="16"/>
                <w:szCs w:val="16"/>
              </w:rPr>
              <w:t>16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-0.37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-0.37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机关事业单位基本养老保险缴费支出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60.36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60.36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65.45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65.45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6</w:t>
            </w:r>
            <w:r>
              <w:rPr>
                <w:rFonts w:ascii="宋体"/>
                <w:sz w:val="16"/>
                <w:szCs w:val="16"/>
              </w:rPr>
              <w:t>5.45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8.43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8.43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2080506</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机关事业单位职业年金缴费支出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33.06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33.06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37.42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37.42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37.42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13.19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13.19</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卫生健康支出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42.56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42.56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42.56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31.28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31.28</w:t>
            </w:r>
          </w:p>
        </w:tc>
      </w:tr>
      <w:tr>
        <w:trPr>
          <w:trHeight w:val="90"/>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行政事业单位医疗</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42.56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42.56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42.56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31.28</w:t>
            </w:r>
            <w:r>
              <w:rPr>
                <w:rFonts w:ascii="宋体" w:hint="eastAsia"/>
                <w:sz w:val="16"/>
                <w:szCs w:val="16"/>
              </w:rPr>
              <w:t xml:space="preserve"> </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10.14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31.28</w:t>
            </w:r>
          </w:p>
        </w:tc>
      </w:tr>
      <w:tr>
        <w:trPr>
          <w:trHeight w:val="285"/>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c>
          <w:tcPr>
            <w:tcW w:w="4320"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40"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285"/>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行政单位医疗</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22.13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22.13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32.84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32.84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32.84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10.71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48.40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10.71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48.40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公务员医疗补助</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9.</w:t>
            </w:r>
            <w:r>
              <w:rPr>
                <w:rFonts w:ascii="宋体"/>
                <w:sz w:val="16"/>
                <w:szCs w:val="16"/>
              </w:rPr>
              <w:t>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9.</w:t>
            </w:r>
            <w:r>
              <w:rPr>
                <w:rFonts w:ascii="宋体"/>
                <w:sz w:val="16"/>
                <w:szCs w:val="16"/>
              </w:rPr>
              <w:t>00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-5.06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-0.48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-5.06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hint="eastAsia"/>
                <w:color w:val="000000"/>
                <w:kern w:val="0"/>
                <w:sz w:val="16"/>
                <w:szCs w:val="16"/>
              </w:rPr>
              <w:t>2101199</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宋体" w:cs="Times New Roman"/>
                <w:color w:val="000000"/>
                <w:kern w:val="0"/>
                <w:sz w:val="16"/>
                <w:szCs w:val="16"/>
              </w:rPr>
            </w:pPr>
            <w:r>
              <w:rPr>
                <w:rFonts w:ascii="宋体" w:cs="Times New Roman" w:hint="eastAsia"/>
                <w:color w:val="000000"/>
                <w:kern w:val="0"/>
                <w:sz w:val="16"/>
                <w:szCs w:val="16"/>
              </w:rPr>
              <w:t>其他行政事业单位医疗支出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0.81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0.81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0.72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0.</w:t>
            </w:r>
            <w:r>
              <w:rPr>
                <w:rFonts w:ascii="宋体"/>
                <w:sz w:val="16"/>
                <w:szCs w:val="16"/>
              </w:rPr>
              <w:t>72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0.</w:t>
            </w:r>
            <w:r>
              <w:rPr>
                <w:rFonts w:ascii="宋体"/>
                <w:sz w:val="16"/>
                <w:szCs w:val="16"/>
              </w:rPr>
              <w:t>72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-0.09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-11.11</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住房保障支出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130.32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130.32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136.24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136.24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136.24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5.92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5.92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4.54</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住房改革支出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130.32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130.32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hint="eastAsia"/>
                <w:sz w:val="16"/>
                <w:szCs w:val="16"/>
              </w:rPr>
              <w:t>1</w:t>
            </w:r>
            <w:r>
              <w:rPr>
                <w:rFonts w:ascii="宋体"/>
                <w:sz w:val="16"/>
                <w:szCs w:val="16"/>
              </w:rPr>
              <w:t>36.24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136.24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136.24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5.92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5.92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4.54</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住房公积金</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90.28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94.62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94.62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94.62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4.81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4.34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4.81</w:t>
            </w:r>
          </w:p>
        </w:tc>
      </w:tr>
      <w:tr>
        <w:trPr>
          <w:trHeight w:val="90"/>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购房补贴</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40.04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40.02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41.62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41.62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41.62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1.58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r>
              <w:rPr>
                <w:rFonts w:ascii="宋体"/>
                <w:sz w:val="16"/>
                <w:szCs w:val="16"/>
              </w:rPr>
              <w:t>3.95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77"/>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78"/>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84"/>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85"/>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86"/>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87"/>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p>
        </w:tc>
      </w:tr>
      <w:tr>
        <w:trPr>
          <w:trHeight w:val="285"/>
        </w:trPr>
        <w:tc>
          <w:tcPr>
            <w:tcW w:w="402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6"/>
                <w:szCs w:val="16"/>
              </w:rPr>
            </w:pPr>
            <w:r>
              <w:rPr>
                <w:rFonts w:ascii="宋体" w:cs="Times New Roman" w:hint="eastAsia"/>
                <w:b/>
                <w:bCs/>
                <w:color w:val="000000"/>
                <w:kern w:val="0"/>
                <w:sz w:val="16"/>
                <w:szCs w:val="16"/>
              </w:rPr>
              <w:t>合</w:t>
            </w:r>
            <w:r>
              <w:rPr>
                <w:rFonts w:ascii="Times New Roman" w:cs="Times New Roman" w:hAnsi="Times New Roman"/>
                <w:b/>
                <w:bCs/>
                <w:color w:val="000000"/>
                <w:kern w:val="0"/>
                <w:sz w:val="16"/>
                <w:szCs w:val="16"/>
              </w:rPr>
              <w:t xml:space="preserve">      </w:t>
            </w:r>
            <w:r>
              <w:rPr>
                <w:rFonts w:ascii="宋体" w:cs="Times New Roman" w:hint="eastAsia"/>
                <w:b/>
                <w:bCs/>
                <w:color w:val="000000"/>
                <w:kern w:val="0"/>
                <w:sz w:val="16"/>
                <w:szCs w:val="16"/>
              </w:rPr>
              <w:t>计</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b/>
                <w:sz w:val="16"/>
                <w:szCs w:val="16"/>
              </w:rPr>
            </w:pPr>
            <w:r>
              <w:rPr>
                <w:rFonts w:ascii="宋体" w:hint="eastAsia"/>
                <w:b/>
                <w:sz w:val="16"/>
                <w:szCs w:val="16"/>
              </w:rPr>
              <w:t>1</w:t>
            </w:r>
            <w:r>
              <w:rPr>
                <w:rFonts w:ascii="宋体"/>
                <w:b/>
                <w:sz w:val="16"/>
                <w:szCs w:val="16"/>
              </w:rPr>
              <w:t>016.33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b/>
                <w:sz w:val="16"/>
                <w:szCs w:val="16"/>
              </w:rPr>
            </w:pPr>
            <w:r>
              <w:rPr>
                <w:rFonts w:ascii="宋体"/>
                <w:b/>
                <w:sz w:val="16"/>
                <w:szCs w:val="16"/>
              </w:rPr>
              <w:t>1016.33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b/>
                <w:sz w:val="16"/>
                <w:szCs w:val="16"/>
              </w:rPr>
            </w:pPr>
            <w:r>
              <w:rPr>
                <w:rFonts w:ascii="宋体"/>
                <w:b/>
                <w:sz w:val="16"/>
                <w:szCs w:val="16"/>
              </w:rPr>
              <w:t>1160.41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b/>
                <w:sz w:val="16"/>
                <w:szCs w:val="16"/>
              </w:rPr>
            </w:pPr>
            <w:r>
              <w:rPr>
                <w:rFonts w:ascii="宋体"/>
                <w:b/>
                <w:sz w:val="16"/>
                <w:szCs w:val="16"/>
              </w:rPr>
              <w:t>1093.93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b/>
                <w:sz w:val="16"/>
                <w:szCs w:val="16"/>
              </w:rPr>
            </w:pPr>
            <w:r>
              <w:rPr>
                <w:rFonts w:ascii="宋体"/>
                <w:b/>
                <w:sz w:val="16"/>
                <w:szCs w:val="16"/>
              </w:rPr>
              <w:t>66.48</w:t>
            </w:r>
          </w:p>
        </w:tc>
        <w:tc>
          <w:tcPr>
            <w:tcW w:w="1080" w:type="dxa"/>
            <w:tcBorders>
              <w:top w:val="nil"/>
              <w:left w:val="nil"/>
              <w:bottom w:val="single" w:sz="8" w:space="0" w:color="auto"/>
              <w:right w:val="single" w:sz="8" w:space="0" w:color="auto"/>
            </w:tcBorders>
            <w:shd w:val="clear" w:color="auto" w:fill="auto"/>
            <w:noWrap/>
            <w:vAlign w:val="center"/>
          </w:tcPr>
          <w:p>
            <w:pPr>
              <w:pStyle w:val="88"/>
              <w:rPr>
                <w:rFonts w:ascii="宋体"/>
                <w:b/>
                <w:sz w:val="16"/>
                <w:szCs w:val="16"/>
              </w:rPr>
            </w:pPr>
            <w:r>
              <w:rPr>
                <w:rFonts w:ascii="宋体"/>
                <w:b/>
                <w:sz w:val="16"/>
                <w:szCs w:val="16"/>
              </w:rPr>
              <w:t>1160.41</w:t>
            </w:r>
          </w:p>
        </w:tc>
        <w:tc>
          <w:tcPr>
            <w:tcW w:w="1080" w:type="dxa"/>
            <w:tcBorders>
              <w:top w:val="nil"/>
              <w:left w:val="nil"/>
              <w:bottom w:val="single" w:sz="8" w:space="0" w:color="auto"/>
              <w:right w:val="single" w:sz="8" w:space="0" w:color="auto"/>
            </w:tcBorders>
            <w:shd w:val="clear" w:color="auto" w:fill="auto"/>
            <w:noWrap/>
            <w:vAlign w:val="center"/>
          </w:tcPr>
          <w:p>
            <w:pPr>
              <w:widowControl/>
              <w:jc w:val="right"/>
              <w:textAlignment w:val="center"/>
              <w:rPr>
                <w:rFonts w:ascii="宋体"/>
                <w:b/>
                <w:sz w:val="16"/>
                <w:szCs w:val="16"/>
              </w:rPr>
            </w:pPr>
            <w:r>
              <w:rPr>
                <w:rFonts w:ascii="宋体"/>
                <w:b/>
                <w:sz w:val="16"/>
                <w:szCs w:val="16"/>
              </w:rPr>
              <w:t>144.08</w:t>
            </w:r>
          </w:p>
        </w:tc>
        <w:tc>
          <w:tcPr>
            <w:tcW w:w="1080" w:type="dxa"/>
            <w:tcBorders>
              <w:top w:val="nil"/>
              <w:left w:val="nil"/>
              <w:bottom w:val="single" w:sz="8" w:space="0" w:color="auto"/>
              <w:right w:val="single" w:sz="8" w:space="0" w:color="auto"/>
            </w:tcBorders>
            <w:shd w:val="clear" w:color="auto" w:fill="auto"/>
            <w:noWrap/>
            <w:vAlign w:val="center"/>
          </w:tcPr>
          <w:p>
            <w:pPr>
              <w:widowControl/>
              <w:jc w:val="right"/>
              <w:textAlignment w:val="center"/>
              <w:rPr>
                <w:rFonts w:ascii="宋体"/>
                <w:b/>
                <w:sz w:val="16"/>
                <w:szCs w:val="16"/>
              </w:rPr>
            </w:pPr>
            <w:r>
              <w:rPr>
                <w:rFonts w:ascii="宋体"/>
                <w:b/>
                <w:sz w:val="16"/>
                <w:szCs w:val="16"/>
              </w:rPr>
              <w:t>14.17</w:t>
            </w:r>
          </w:p>
        </w:tc>
        <w:tc>
          <w:tcPr>
            <w:tcW w:w="1080" w:type="dxa"/>
            <w:tcBorders>
              <w:top w:val="nil"/>
              <w:left w:val="nil"/>
              <w:bottom w:val="single" w:sz="8" w:space="0" w:color="auto"/>
              <w:right w:val="single" w:sz="8" w:space="0" w:color="auto"/>
            </w:tcBorders>
            <w:shd w:val="clear" w:color="auto" w:fill="auto"/>
            <w:noWrap/>
            <w:vAlign w:val="center"/>
          </w:tcPr>
          <w:p>
            <w:pPr>
              <w:widowControl/>
              <w:jc w:val="right"/>
              <w:textAlignment w:val="center"/>
              <w:rPr>
                <w:rFonts w:ascii="宋体"/>
                <w:b/>
                <w:sz w:val="16"/>
                <w:szCs w:val="16"/>
              </w:rPr>
            </w:pPr>
            <w:r>
              <w:rPr>
                <w:rFonts w:ascii="宋体"/>
                <w:b/>
                <w:sz w:val="16"/>
                <w:szCs w:val="16"/>
              </w:rPr>
              <w:t>144.08</w:t>
            </w:r>
          </w:p>
        </w:tc>
        <w:tc>
          <w:tcPr>
            <w:tcW w:w="1080" w:type="dxa"/>
            <w:tcBorders>
              <w:top w:val="nil"/>
              <w:left w:val="nil"/>
              <w:bottom w:val="single" w:sz="8" w:space="0" w:color="auto"/>
              <w:right w:val="single" w:sz="8" w:space="0" w:color="auto"/>
            </w:tcBorders>
            <w:shd w:val="clear" w:color="auto" w:fill="auto"/>
            <w:noWrap/>
            <w:vAlign w:val="center"/>
          </w:tcPr>
          <w:p>
            <w:pPr>
              <w:widowControl/>
              <w:jc w:val="right"/>
              <w:textAlignment w:val="center"/>
              <w:rPr>
                <w:rFonts w:ascii="宋体"/>
                <w:b/>
                <w:sz w:val="16"/>
                <w:szCs w:val="16"/>
              </w:rPr>
            </w:pPr>
            <w:r>
              <w:rPr>
                <w:rFonts w:ascii="宋体"/>
                <w:b/>
                <w:sz w:val="16"/>
                <w:szCs w:val="16"/>
              </w:rPr>
              <w:t>14.17</w:t>
            </w:r>
          </w:p>
        </w:tc>
      </w:tr>
    </w:tbl>
    <w:p>
      <w:pP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93" w:type="dxa"/>
        <w:tblW w:w="91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20"/>
        <w:gridCol w:w="1330"/>
        <w:gridCol w:w="1750"/>
        <w:gridCol w:w="1520"/>
        <w:gridCol w:w="1520"/>
        <w:gridCol w:w="1520"/>
      </w:tblGrid>
      <w:tr>
        <w:trPr>
          <w:trHeight w:val="315"/>
        </w:trPr>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4"/>
                <w:szCs w:val="24"/>
              </w:rPr>
            </w:pPr>
            <w:bookmarkStart w:id="0" w:name="RANGE!A1:E71"/>
            <w:bookmarkEnd w:id="0"/>
          </w:p>
        </w:tc>
        <w:tc>
          <w:tcPr>
            <w:tcW w:w="3080" w:type="dxa"/>
            <w:gridSpan w:val="2"/>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w:t>
            </w:r>
            <w:r>
              <w:rPr>
                <w:rFonts w:ascii="Times New Roman" w:eastAsia="黑体" w:cs="Times New Roman" w:hAnsi="Times New Roman"/>
                <w:color w:val="000000"/>
                <w:kern w:val="0"/>
                <w:sz w:val="20"/>
                <w:szCs w:val="20"/>
              </w:rPr>
              <w:t>6</w:t>
            </w:r>
          </w:p>
        </w:tc>
      </w:tr>
      <w:tr>
        <w:trPr>
          <w:trHeight w:val="450"/>
        </w:trPr>
        <w:tc>
          <w:tcPr>
            <w:tcW w:w="9160" w:type="dxa"/>
            <w:gridSpan w:val="6"/>
            <w:tcBorders>
              <w:top w:val="nil"/>
              <w:left w:val="nil"/>
              <w:bottom w:val="nil"/>
              <w:right w:val="nil"/>
            </w:tcBorders>
            <w:shd w:val="clear" w:color="auto" w:fill="auto"/>
            <w:noWrap/>
            <w:vAlign w:val="center"/>
          </w:tcPr>
          <w:p>
            <w:pPr>
              <w:widowControl/>
              <w:jc w:val="center"/>
              <w:rPr>
                <w:rFonts w:ascii="宋体" w:cs="宋体"/>
                <w:color w:val="000000"/>
                <w:kern w:val="0"/>
                <w:sz w:val="36"/>
                <w:szCs w:val="36"/>
              </w:rPr>
            </w:pPr>
            <w:r>
              <w:rPr>
                <w:rFonts w:ascii="宋体" w:cs="宋体" w:hint="eastAsia"/>
                <w:color w:val="000000"/>
                <w:kern w:val="0"/>
                <w:sz w:val="36"/>
                <w:szCs w:val="36"/>
              </w:rPr>
              <w:t>一般公共预算基本支出表</w:t>
            </w:r>
          </w:p>
        </w:tc>
      </w:tr>
      <w:tr>
        <w:trPr>
          <w:trHeight w:val="284"/>
        </w:trPr>
        <w:tc>
          <w:tcPr>
            <w:tcW w:w="2850" w:type="dxa"/>
            <w:gridSpan w:val="2"/>
            <w:tcBorders>
              <w:top w:val="nil"/>
              <w:left w:val="nil"/>
              <w:bottom w:val="nil"/>
              <w:right w:val="nil"/>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单位：中华人民共和国滨州海关</w:t>
            </w:r>
          </w:p>
        </w:tc>
        <w:tc>
          <w:tcPr>
            <w:tcW w:w="1750" w:type="dxa"/>
            <w:tcBorders>
              <w:top w:val="nil"/>
              <w:left w:val="nil"/>
              <w:bottom w:val="nil"/>
              <w:right w:val="nil"/>
            </w:tcBorders>
            <w:shd w:val="clear" w:color="auto" w:fill="auto"/>
            <w:noWrap/>
            <w:vAlign w:val="center"/>
          </w:tcPr>
          <w:p>
            <w:pPr>
              <w:pStyle w:val="95"/>
              <w:widowControl/>
              <w:jc w:val="left"/>
              <w:rPr>
                <w:rFonts w:ascii="宋体" w:cs="宋体"/>
                <w:color w:val="000000"/>
                <w:kern w:val="0"/>
                <w:sz w:val="18"/>
                <w:szCs w:val="18"/>
              </w:rPr>
            </w:pPr>
            <w:r>
              <w:rPr>
                <w:rFonts w:ascii="宋体" w:cs="宋体" w:hint="eastAsia"/>
                <w:color w:val="000000"/>
                <w:kern w:val="0"/>
                <w:sz w:val="18"/>
                <w:szCs w:val="18"/>
              </w:rPr>
              <w:t>　</w:t>
            </w: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单位：万元</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8"/>
                <w:szCs w:val="18"/>
              </w:rPr>
            </w:pPr>
            <w:r>
              <w:rPr>
                <w:rFonts w:ascii="Times New Roman" w:cs="Times New Roman" w:hAnsi="Times New Roman"/>
                <w:b/>
                <w:bCs/>
                <w:color w:val="000000"/>
                <w:kern w:val="0"/>
                <w:sz w:val="18"/>
                <w:szCs w:val="18"/>
              </w:rPr>
              <w:t>　</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b/>
                <w:bCs/>
                <w:color w:val="000000"/>
                <w:kern w:val="0"/>
                <w:sz w:val="18"/>
                <w:szCs w:val="18"/>
              </w:rPr>
            </w:pPr>
            <w:r>
              <w:rPr>
                <w:rFonts w:ascii="宋体" w:cs="宋体" w:hint="eastAsia"/>
                <w:b/>
                <w:bCs/>
                <w:color w:val="000000"/>
                <w:kern w:val="0"/>
                <w:sz w:val="18"/>
                <w:szCs w:val="18"/>
              </w:rPr>
              <w:t>滨州海关</w:t>
            </w:r>
          </w:p>
        </w:tc>
        <w:tc>
          <w:tcPr>
            <w:tcW w:w="1520" w:type="dxa"/>
            <w:tcBorders>
              <w:top w:val="nil"/>
              <w:left w:val="nil"/>
              <w:bottom w:val="single" w:sz="8" w:space="0" w:color="auto"/>
              <w:right w:val="single" w:sz="8" w:space="0" w:color="auto"/>
            </w:tcBorders>
            <w:shd w:val="clear" w:color="auto" w:fill="auto"/>
            <w:noWrap/>
            <w:vAlign w:val="center"/>
          </w:tcPr>
          <w:p>
            <w:pPr>
              <w:pStyle w:val="90"/>
              <w:jc w:val="right"/>
              <w:rPr>
                <w:rFonts w:ascii="宋体"/>
                <w:b/>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91"/>
              <w:jc w:val="right"/>
              <w:rPr>
                <w:rFonts w:ascii="宋体"/>
                <w:b/>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92"/>
              <w:jc w:val="right"/>
              <w:rPr>
                <w:rFonts w:ascii="宋体"/>
                <w:b/>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301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工资福利支出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830.94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830.94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基本工资</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225.00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225</w:t>
            </w:r>
            <w:r>
              <w:rPr>
                <w:rFonts w:ascii="宋体" w:hint="eastAsia"/>
                <w:color w:val="000000"/>
                <w:sz w:val="18"/>
                <w:szCs w:val="18"/>
              </w:rPr>
              <w:t>.00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津贴补贴</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347.89</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347.89</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奖金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18.00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w:t>
            </w:r>
            <w:r>
              <w:rPr>
                <w:rFonts w:ascii="宋体"/>
                <w:color w:val="000000"/>
                <w:sz w:val="18"/>
                <w:szCs w:val="18"/>
              </w:rPr>
              <w:t>8</w:t>
            </w:r>
            <w:r>
              <w:rPr>
                <w:rFonts w:ascii="宋体" w:hint="eastAsia"/>
                <w:color w:val="000000"/>
                <w:sz w:val="18"/>
                <w:szCs w:val="18"/>
              </w:rPr>
              <w:t>.00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机关事业单位基本养老保险缴费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65.45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65.45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职业年金缴费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37.42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37.42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职工基本医疗保险缴费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32.84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32.84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公务员医疗补助缴费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9.00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9.00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30112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其他社会保障缴费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0.72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0.72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30113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住房公积金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94.62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94.62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233.63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233.63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30201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办公费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10.00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10.00</w:t>
            </w:r>
          </w:p>
        </w:tc>
      </w:tr>
      <w:tr>
        <w:trPr>
          <w:trHeight w:val="340"/>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印刷费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3.46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3.46</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30205</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0.71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0.71</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30206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w:t>
            </w:r>
            <w:r>
              <w:rPr>
                <w:rFonts w:ascii="宋体" w:hint="eastAsia"/>
                <w:color w:val="000000"/>
                <w:sz w:val="18"/>
                <w:szCs w:val="18"/>
              </w:rPr>
              <w:t>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15.00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30207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邮电费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8.00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8.00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30208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取暖费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10.00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hint="eastAsia"/>
                <w:color w:val="000000"/>
                <w:sz w:val="18"/>
                <w:szCs w:val="18"/>
              </w:rPr>
            </w:pPr>
            <w:r>
              <w:rPr>
                <w:rFonts w:ascii="宋体" w:hint="eastAsia"/>
                <w:color w:val="000000"/>
                <w:sz w:val="18"/>
                <w:szCs w:val="18"/>
              </w:rPr>
              <w:t>10.00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物业管理费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15</w:t>
            </w:r>
            <w:r>
              <w:rPr>
                <w:rFonts w:ascii="宋体" w:hint="eastAsia"/>
                <w:color w:val="000000"/>
                <w:sz w:val="18"/>
                <w:szCs w:val="18"/>
              </w:rPr>
              <w:t>.00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差旅费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w:t>
            </w:r>
            <w:r>
              <w:rPr>
                <w:rFonts w:ascii="宋体"/>
                <w:color w:val="000000"/>
                <w:sz w:val="18"/>
                <w:szCs w:val="18"/>
              </w:rPr>
              <w:t>4</w:t>
            </w:r>
            <w:r>
              <w:rPr>
                <w:rFonts w:ascii="宋体" w:hint="eastAsia"/>
                <w:color w:val="000000"/>
                <w:sz w:val="18"/>
                <w:szCs w:val="18"/>
              </w:rPr>
              <w:t>.00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14</w:t>
            </w:r>
            <w:r>
              <w:rPr>
                <w:rFonts w:ascii="宋体" w:hint="eastAsia"/>
                <w:color w:val="000000"/>
                <w:sz w:val="18"/>
                <w:szCs w:val="18"/>
              </w:rPr>
              <w:t>.00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维修（护）费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20</w:t>
            </w:r>
            <w:r>
              <w:rPr>
                <w:rFonts w:ascii="宋体" w:hint="eastAsia"/>
                <w:color w:val="000000"/>
                <w:sz w:val="18"/>
                <w:szCs w:val="18"/>
              </w:rPr>
              <w:t>.00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20</w:t>
            </w:r>
            <w:r>
              <w:rPr>
                <w:rFonts w:ascii="宋体" w:hint="eastAsia"/>
                <w:color w:val="000000"/>
                <w:sz w:val="18"/>
                <w:szCs w:val="18"/>
              </w:rPr>
              <w:t>.00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30214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租赁费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6.00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hint="eastAsia"/>
                <w:color w:val="000000"/>
                <w:sz w:val="18"/>
                <w:szCs w:val="18"/>
              </w:rPr>
            </w:pPr>
            <w:r>
              <w:rPr>
                <w:rFonts w:ascii="宋体" w:hint="eastAsia"/>
                <w:color w:val="000000"/>
                <w:sz w:val="18"/>
                <w:szCs w:val="18"/>
              </w:rPr>
              <w:t>6.00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30217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公务接待费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0.74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0.74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30227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委托业务费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20</w:t>
            </w:r>
            <w:r>
              <w:rPr>
                <w:rFonts w:ascii="宋体" w:hint="eastAsia"/>
                <w:color w:val="000000"/>
                <w:sz w:val="18"/>
                <w:szCs w:val="18"/>
              </w:rPr>
              <w:t>.00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20</w:t>
            </w:r>
            <w:r>
              <w:rPr>
                <w:rFonts w:ascii="宋体" w:hint="eastAsia"/>
                <w:color w:val="000000"/>
                <w:sz w:val="18"/>
                <w:szCs w:val="18"/>
              </w:rPr>
              <w:t>.00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30228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工会经费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17</w:t>
            </w:r>
            <w:r>
              <w:rPr>
                <w:rFonts w:ascii="宋体" w:hint="eastAsia"/>
                <w:color w:val="000000"/>
                <w:sz w:val="18"/>
                <w:szCs w:val="18"/>
              </w:rPr>
              <w:t>.00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17</w:t>
            </w:r>
            <w:r>
              <w:rPr>
                <w:rFonts w:ascii="宋体" w:hint="eastAsia"/>
                <w:color w:val="000000"/>
                <w:sz w:val="18"/>
                <w:szCs w:val="18"/>
              </w:rPr>
              <w:t>.00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30231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公务用车运行维护费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4.4</w:t>
            </w:r>
            <w:r>
              <w:rPr>
                <w:rFonts w:ascii="宋体" w:hint="eastAsia"/>
                <w:color w:val="000000"/>
                <w:sz w:val="18"/>
                <w:szCs w:val="18"/>
              </w:rPr>
              <w:t>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4.40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30239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其他交通费用</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38.52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38.52</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30299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其他商品和服务支出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50.80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50.80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303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8.36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8.36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退休费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7.36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7.36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30399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其他对个人和家庭的补助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hint="eastAsia"/>
                <w:color w:val="000000"/>
                <w:sz w:val="18"/>
                <w:szCs w:val="18"/>
              </w:rPr>
              <w:t>1.00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310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b/>
                <w:color w:val="000000"/>
                <w:sz w:val="18"/>
                <w:szCs w:val="18"/>
              </w:rPr>
            </w:pPr>
            <w:r>
              <w:rPr>
                <w:rFonts w:ascii="宋体"/>
                <w:b/>
                <w:color w:val="000000"/>
                <w:sz w:val="18"/>
                <w:szCs w:val="18"/>
              </w:rPr>
              <w:t>资本性支出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21.00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color w:val="000000"/>
                <w:sz w:val="18"/>
                <w:szCs w:val="18"/>
              </w:rPr>
            </w:pPr>
            <w:r>
              <w:rPr>
                <w:rFonts w:ascii="宋体"/>
                <w:b/>
                <w:color w:val="000000"/>
                <w:sz w:val="18"/>
                <w:szCs w:val="18"/>
              </w:rPr>
              <w:t>21.00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31002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color w:val="000000"/>
                <w:sz w:val="18"/>
                <w:szCs w:val="18"/>
              </w:rPr>
              <w:t>办公设备购置</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2.10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2.10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31013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color w:val="000000"/>
                <w:sz w:val="18"/>
                <w:szCs w:val="18"/>
              </w:rPr>
            </w:pPr>
            <w:r>
              <w:rPr>
                <w:rFonts w:ascii="宋体" w:hint="eastAsia"/>
                <w:color w:val="000000"/>
                <w:sz w:val="18"/>
                <w:szCs w:val="18"/>
              </w:rPr>
              <w:t>公务用车购置</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18.90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color w:val="000000"/>
                <w:sz w:val="18"/>
                <w:szCs w:val="18"/>
              </w:rPr>
            </w:pPr>
            <w:r>
              <w:rPr>
                <w:rFonts w:ascii="宋体"/>
                <w:color w:val="000000"/>
                <w:sz w:val="18"/>
                <w:szCs w:val="18"/>
              </w:rPr>
              <w:t>18.90</w:t>
            </w:r>
          </w:p>
        </w:tc>
      </w:tr>
      <w:tr>
        <w:trPr>
          <w:trHeight w:val="285"/>
        </w:trPr>
        <w:tc>
          <w:tcPr>
            <w:tcW w:w="4600" w:type="dxa"/>
            <w:gridSpan w:val="3"/>
            <w:tcBorders>
              <w:top w:val="nil"/>
              <w:left w:val="single" w:sz="8" w:space="0" w:color="auto"/>
              <w:bottom w:val="single" w:sz="8" w:space="0" w:color="auto"/>
              <w:right w:val="single" w:sz="8" w:space="0" w:color="auto"/>
            </w:tcBorders>
            <w:shd w:val="clear" w:color="auto" w:fill="auto"/>
            <w:noWrap/>
            <w:vAlign w:val="center"/>
          </w:tcPr>
          <w:p>
            <w:pPr>
              <w:pStyle w:val="89"/>
              <w:jc w:val="center"/>
              <w:rPr>
                <w:rFonts w:ascii="宋体"/>
                <w:b/>
                <w:sz w:val="18"/>
                <w:szCs w:val="18"/>
              </w:rPr>
            </w:pPr>
            <w:r>
              <w:rPr>
                <w:rFonts w:ascii="宋体"/>
                <w:b/>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sz w:val="18"/>
                <w:szCs w:val="18"/>
              </w:rPr>
            </w:pPr>
            <w:r>
              <w:rPr>
                <w:rFonts w:ascii="宋体"/>
                <w:b/>
                <w:sz w:val="18"/>
                <w:szCs w:val="18"/>
              </w:rPr>
              <w:t>1093.93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sz w:val="18"/>
                <w:szCs w:val="18"/>
              </w:rPr>
            </w:pPr>
            <w:r>
              <w:rPr>
                <w:rFonts w:ascii="宋体"/>
                <w:b/>
                <w:sz w:val="18"/>
                <w:szCs w:val="18"/>
              </w:rPr>
              <w:t>839.30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b/>
                <w:sz w:val="18"/>
                <w:szCs w:val="18"/>
              </w:rPr>
            </w:pPr>
            <w:r>
              <w:rPr>
                <w:rFonts w:ascii="宋体"/>
                <w:b/>
                <w:sz w:val="18"/>
                <w:szCs w:val="18"/>
              </w:rPr>
              <w:t>254.63</w:t>
            </w:r>
          </w:p>
        </w:tc>
      </w:tr>
    </w:tbl>
    <w:p>
      <w:pPr>
        <w:widowControl/>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r>
        <w:rPr>
          <w:rFonts w:ascii="Times New Roman" w:eastAsia="方正仿宋_GBK" w:hAnsi="Times New Roman"/>
          <w:sz w:val="32"/>
          <w:szCs w:val="32"/>
        </w:rPr>
        <w:br w:type="page"/>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6</w:t>
            </w:r>
            <w:bookmarkStart w:id="1" w:name="_GoBack"/>
            <w:bookmarkEnd w:id="1"/>
            <w:r>
              <w:rPr>
                <w:rFonts w:ascii="Times New Roman"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滨州海关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w:t>
            </w:r>
            <w:r>
              <w:rPr>
                <w:rFonts w:ascii="Times New Roman" w:cs="宋体" w:hAnsi="Times New Roman"/>
                <w:color w:val="000000"/>
                <w:kern w:val="0"/>
                <w:sz w:val="20"/>
                <w:szCs w:val="20"/>
              </w:rPr>
              <w:t>6</w:t>
            </w:r>
            <w:r>
              <w:rPr>
                <w:rFonts w:ascii="Times New Roman"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滨州海关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rPr>
          <w:rFonts w:ascii="Times New Roman" w:eastAsia="方正仿宋_GBK" w:hAnsi="Times New Roman"/>
          <w:sz w:val="32"/>
          <w:szCs w:val="32"/>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5</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6</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pStyle w:val="99"/>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32.24</w:t>
            </w:r>
          </w:p>
        </w:tc>
        <w:tc>
          <w:tcPr>
            <w:tcW w:w="1108" w:type="dxa"/>
            <w:tcBorders>
              <w:top w:val="nil"/>
              <w:left w:val="nil"/>
              <w:bottom w:val="single" w:sz="4" w:space="0" w:color="auto"/>
              <w:right w:val="single" w:sz="4" w:space="0" w:color="auto"/>
            </w:tcBorders>
            <w:shd w:val="clear" w:color="auto" w:fill="auto"/>
            <w:noWrap/>
            <w:vAlign w:val="center"/>
          </w:tcPr>
          <w:p>
            <w:pPr>
              <w:pStyle w:val="100"/>
              <w:widowControl/>
              <w:jc w:val="center"/>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pStyle w:val="99"/>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31.50</w:t>
            </w:r>
          </w:p>
        </w:tc>
        <w:tc>
          <w:tcPr>
            <w:tcW w:w="1134" w:type="dxa"/>
            <w:tcBorders>
              <w:top w:val="nil"/>
              <w:left w:val="nil"/>
              <w:bottom w:val="single" w:sz="4" w:space="0" w:color="auto"/>
              <w:right w:val="single" w:sz="4" w:space="0" w:color="auto"/>
            </w:tcBorders>
            <w:shd w:val="clear" w:color="auto" w:fill="auto"/>
            <w:noWrap/>
            <w:vAlign w:val="center"/>
          </w:tcPr>
          <w:p>
            <w:pPr>
              <w:pStyle w:val="100"/>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18.00</w:t>
            </w:r>
          </w:p>
        </w:tc>
        <w:tc>
          <w:tcPr>
            <w:tcW w:w="1134" w:type="dxa"/>
            <w:tcBorders>
              <w:top w:val="nil"/>
              <w:left w:val="nil"/>
              <w:bottom w:val="single" w:sz="4" w:space="0" w:color="auto"/>
              <w:right w:val="single" w:sz="4" w:space="0" w:color="auto"/>
            </w:tcBorders>
            <w:shd w:val="clear" w:color="auto" w:fill="auto"/>
            <w:noWrap/>
            <w:vAlign w:val="center"/>
          </w:tcPr>
          <w:p>
            <w:pPr>
              <w:pStyle w:val="101"/>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13.50</w:t>
            </w:r>
          </w:p>
        </w:tc>
        <w:tc>
          <w:tcPr>
            <w:tcW w:w="1407" w:type="dxa"/>
            <w:tcBorders>
              <w:top w:val="nil"/>
              <w:left w:val="nil"/>
              <w:bottom w:val="single" w:sz="4" w:space="0" w:color="auto"/>
              <w:right w:val="single" w:sz="4" w:space="0" w:color="auto"/>
            </w:tcBorders>
            <w:shd w:val="clear" w:color="auto" w:fill="auto"/>
            <w:noWrap/>
            <w:vAlign w:val="center"/>
          </w:tcPr>
          <w:p>
            <w:pPr>
              <w:pStyle w:val="102"/>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0.74</w:t>
            </w:r>
          </w:p>
        </w:tc>
        <w:tc>
          <w:tcPr>
            <w:tcW w:w="966" w:type="dxa"/>
            <w:tcBorders>
              <w:top w:val="nil"/>
              <w:left w:val="nil"/>
              <w:bottom w:val="single" w:sz="4" w:space="0" w:color="auto"/>
              <w:right w:val="single" w:sz="4" w:space="0" w:color="auto"/>
            </w:tcBorders>
            <w:shd w:val="clear" w:color="auto" w:fill="auto"/>
            <w:noWrap/>
            <w:vAlign w:val="center"/>
          </w:tcPr>
          <w:p>
            <w:pPr>
              <w:pStyle w:val="99"/>
              <w:widowControl/>
              <w:jc w:val="center"/>
              <w:rPr>
                <w:rFonts w:ascii="Times New Roman" w:cs="Times New Roman" w:hAnsi="Times New Roman"/>
                <w:kern w:val="0"/>
                <w:sz w:val="20"/>
                <w:szCs w:val="20"/>
              </w:rPr>
            </w:pPr>
            <w:r>
              <w:rPr>
                <w:rFonts w:ascii="Times New Roman" w:cs="Times New Roman" w:hAnsi="Times New Roman"/>
                <w:kern w:val="0"/>
                <w:sz w:val="20"/>
                <w:szCs w:val="20"/>
              </w:rPr>
              <w:t>33.14</w:t>
            </w:r>
          </w:p>
        </w:tc>
        <w:tc>
          <w:tcPr>
            <w:tcW w:w="1272" w:type="dxa"/>
            <w:tcBorders>
              <w:top w:val="nil"/>
              <w:left w:val="nil"/>
              <w:bottom w:val="single" w:sz="4" w:space="0" w:color="auto"/>
              <w:right w:val="single" w:sz="4" w:space="0" w:color="auto"/>
            </w:tcBorders>
            <w:shd w:val="clear" w:color="auto" w:fill="auto"/>
            <w:noWrap/>
            <w:vAlign w:val="center"/>
          </w:tcPr>
          <w:p>
            <w:pPr>
              <w:pStyle w:val="100"/>
              <w:widowControl/>
              <w:jc w:val="center"/>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pStyle w:val="99"/>
              <w:widowControl/>
              <w:jc w:val="center"/>
              <w:rPr>
                <w:rFonts w:ascii="Times New Roman" w:cs="Times New Roman" w:hAnsi="Times New Roman"/>
                <w:kern w:val="0"/>
                <w:sz w:val="20"/>
                <w:szCs w:val="20"/>
              </w:rPr>
            </w:pPr>
            <w:r>
              <w:rPr>
                <w:rFonts w:ascii="Times New Roman" w:cs="Times New Roman" w:hAnsi="Times New Roman"/>
                <w:kern w:val="0"/>
                <w:sz w:val="20"/>
                <w:szCs w:val="20"/>
              </w:rPr>
              <w:t>32.40</w:t>
            </w:r>
          </w:p>
        </w:tc>
        <w:tc>
          <w:tcPr>
            <w:tcW w:w="1134" w:type="dxa"/>
            <w:tcBorders>
              <w:top w:val="nil"/>
              <w:left w:val="nil"/>
              <w:bottom w:val="single" w:sz="4" w:space="0" w:color="auto"/>
              <w:right w:val="single" w:sz="4" w:space="0" w:color="auto"/>
            </w:tcBorders>
            <w:shd w:val="clear" w:color="auto" w:fill="auto"/>
            <w:noWrap/>
            <w:vAlign w:val="center"/>
          </w:tcPr>
          <w:p>
            <w:pPr>
              <w:pStyle w:val="100"/>
              <w:widowControl/>
              <w:jc w:val="center"/>
              <w:rPr>
                <w:rFonts w:ascii="Times New Roman" w:cs="Times New Roman" w:hAnsi="Times New Roman"/>
                <w:kern w:val="0"/>
                <w:sz w:val="20"/>
                <w:szCs w:val="20"/>
              </w:rPr>
            </w:pPr>
            <w:r>
              <w:rPr>
                <w:rFonts w:ascii="Times New Roman" w:cs="Times New Roman" w:hAnsi="Times New Roman"/>
                <w:kern w:val="0"/>
                <w:sz w:val="20"/>
                <w:szCs w:val="20"/>
              </w:rPr>
              <w:t>18.90</w:t>
            </w:r>
          </w:p>
        </w:tc>
        <w:tc>
          <w:tcPr>
            <w:tcW w:w="1134" w:type="dxa"/>
            <w:tcBorders>
              <w:top w:val="nil"/>
              <w:left w:val="nil"/>
              <w:bottom w:val="single" w:sz="4" w:space="0" w:color="auto"/>
              <w:right w:val="single" w:sz="4" w:space="0" w:color="auto"/>
            </w:tcBorders>
            <w:shd w:val="clear" w:color="auto" w:fill="auto"/>
            <w:noWrap/>
            <w:vAlign w:val="center"/>
          </w:tcPr>
          <w:p>
            <w:pPr>
              <w:pStyle w:val="101"/>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13.50</w:t>
            </w:r>
          </w:p>
        </w:tc>
        <w:tc>
          <w:tcPr>
            <w:tcW w:w="1445" w:type="dxa"/>
            <w:tcBorders>
              <w:top w:val="nil"/>
              <w:left w:val="nil"/>
              <w:bottom w:val="single" w:sz="4" w:space="0" w:color="auto"/>
              <w:right w:val="single" w:sz="4" w:space="0" w:color="auto"/>
            </w:tcBorders>
            <w:shd w:val="clear" w:color="auto" w:fill="auto"/>
            <w:noWrap/>
            <w:vAlign w:val="center"/>
          </w:tcPr>
          <w:p>
            <w:pPr>
              <w:pStyle w:val="102"/>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0.74</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滨州海关</w:t>
      </w:r>
      <w:r>
        <w:rPr>
          <w:rFonts w:ascii="Times New Roman" w:hAnsi="Times New Roman"/>
          <w:b/>
          <w:sz w:val="80"/>
          <w:szCs w:val="80"/>
        </w:rPr>
        <w:t>2026</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22"/>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22"/>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滨州</w:t>
      </w:r>
      <w:r>
        <w:rPr>
          <w:rFonts w:eastAsia="方正黑体_GBK"/>
          <w:sz w:val="32"/>
          <w:szCs w:val="32"/>
        </w:rPr>
        <w:t>海关2026年收支预算情况的总体说明</w:t>
      </w:r>
    </w:p>
    <w:p>
      <w:pPr>
        <w:pStyle w:val="22"/>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滨州</w:t>
      </w:r>
      <w:r>
        <w:rPr>
          <w:rFonts w:eastAsia="方正仿宋_GBK"/>
          <w:sz w:val="32"/>
          <w:szCs w:val="32"/>
        </w:rPr>
        <w:t>海关所有收入和支出均纳入部门预算管理。收入包括：一般公共预算拨款收入、其他收入、使用非财政拨款上年结转；支出包括：一般公共服务支出、社会保障和就业支出、卫生健康支出、住房保障支出。</w:t>
      </w:r>
      <w:r>
        <w:rPr>
          <w:rFonts w:eastAsia="方正仿宋_GBK" w:hint="eastAsia"/>
          <w:sz w:val="32"/>
          <w:szCs w:val="32"/>
        </w:rPr>
        <w:t>滨州</w:t>
      </w:r>
      <w:r>
        <w:rPr>
          <w:rFonts w:eastAsia="方正仿宋_GBK"/>
          <w:sz w:val="32"/>
          <w:szCs w:val="32"/>
        </w:rPr>
        <w:t>海关2026年收支总预算</w:t>
      </w:r>
      <w:r>
        <w:rPr>
          <w:sz w:val="32"/>
          <w:szCs w:val="32"/>
        </w:rPr>
        <w:t>2424.62</w:t>
      </w:r>
      <w:r>
        <w:rPr>
          <w:rFonts w:eastAsia="方正仿宋_GBK"/>
          <w:sz w:val="32"/>
          <w:szCs w:val="32"/>
        </w:rPr>
        <w:t>万元。</w:t>
      </w:r>
    </w:p>
    <w:p>
      <w:pPr>
        <w:pStyle w:val="22"/>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滨州</w:t>
      </w:r>
      <w:r>
        <w:rPr>
          <w:rFonts w:eastAsia="方正黑体_GBK"/>
          <w:sz w:val="32"/>
          <w:szCs w:val="32"/>
        </w:rPr>
        <w:t>海关2026年收入预算情况说明</w:t>
      </w:r>
    </w:p>
    <w:p>
      <w:pPr>
        <w:pStyle w:val="22"/>
        <w:ind w:firstLineChars="200" w:firstLine="640"/>
        <w:rPr>
          <w:rFonts w:eastAsia="方正仿宋_GBK"/>
          <w:sz w:val="32"/>
          <w:szCs w:val="32"/>
        </w:rPr>
      </w:pPr>
      <w:r>
        <w:rPr>
          <w:rFonts w:eastAsia="方正仿宋_GBK" w:hint="eastAsia"/>
          <w:sz w:val="32"/>
          <w:szCs w:val="32"/>
        </w:rPr>
        <w:t>滨州</w:t>
      </w:r>
      <w:r>
        <w:rPr>
          <w:rFonts w:eastAsia="方正仿宋_GBK"/>
          <w:sz w:val="32"/>
          <w:szCs w:val="32"/>
        </w:rPr>
        <w:t>海关2026年收入预算2424.62万元，其中：上年结转714.21万元，占29.46%；一般公共预算财政拨款1160.41万元，占47.86%；其他收入550万元，占22.68%</w:t>
      </w:r>
      <w:r>
        <w:rPr>
          <w:rFonts w:eastAsia="方正仿宋_GBK" w:hint="eastAsia"/>
          <w:sz w:val="32"/>
          <w:szCs w:val="32"/>
        </w:rPr>
        <w:t>。</w:t>
      </w:r>
    </w:p>
    <w:p>
      <w:pPr>
        <w:pStyle w:val="22"/>
        <w:rPr>
          <w:rFonts w:eastAsia="方正仿宋_GBK"/>
          <w:sz w:val="32"/>
          <w:szCs w:val="32"/>
        </w:rPr>
      </w:pPr>
      <w:r>
        <w:rPr>
          <w:rFonts w:eastAsia="方正仿宋_GBK"/>
          <w:sz w:val="32"/>
          <w:szCs w:val="32"/>
        </w:rPr>
        <w:drawing>
          <wp:inline distT="0" distB="0" distL="85723" distR="85723">
            <wp:extent cx="4571929" cy="2743157"/>
            <wp:effectExtent l="0" t="0" r="0" b="0"/>
            <wp:docPr id="4" name="图片"/>
            <wp:cNvGraphicFramePr>
              <a:graphicFrameLocks noChangeAspect="1"/>
            </wp:cNvGraphicFramePr>
            <a:graphic>
              <a:graphicData uri="http://schemas.openxmlformats.org/drawingml/2006/picture">
                <pic:pic>
                  <pic:nvPicPr>
                    <pic:cNvPr id="6" name="图片 6"/>
                    <pic:cNvPicPr/>
                  </pic:nvPicPr>
                  <pic:blipFill>
                    <a:blip r:embed="rId5"/>
                    <a:stretch>
                      <a:fillRect/>
                    </a:stretch>
                  </pic:blipFill>
                  <pic:spPr>
                    <a:xfrm rot="0">
                      <a:off x="0" y="0"/>
                      <a:ext cx="4571929" cy="2743157"/>
                    </a:xfrm>
                    <a:prstGeom prst="rect"/>
                    <a:noFill/>
                    <a:ln w="9525" cmpd="sng" cap="flat">
                      <a:noFill/>
                      <a:prstDash val="solid"/>
                      <a:miter/>
                    </a:ln>
                  </pic:spPr>
                </pic:pic>
              </a:graphicData>
            </a:graphic>
          </wp:inline>
        </w:drawing>
      </w:r>
    </w:p>
    <w:p>
      <w:pPr>
        <w:pStyle w:val="22"/>
        <w:spacing w:line="560" w:lineRule="exact"/>
        <w:ind w:firstLineChars="200" w:firstLine="640"/>
        <w:rPr>
          <w:rFonts w:eastAsia="方正仿宋_GBK"/>
          <w:sz w:val="32"/>
          <w:szCs w:val="32"/>
        </w:rPr>
      </w:pPr>
      <w:r>
        <w:rPr>
          <w:rFonts w:eastAsia="方正黑体_GBK" w:hint="eastAsia"/>
          <w:sz w:val="32"/>
          <w:szCs w:val="32"/>
        </w:rPr>
        <w:t>三、关于滨州海关</w:t>
      </w:r>
      <w:r>
        <w:rPr>
          <w:rFonts w:eastAsia="方正黑体_GBK"/>
          <w:sz w:val="32"/>
          <w:szCs w:val="32"/>
        </w:rPr>
        <w:t>2026</w:t>
      </w:r>
      <w:r>
        <w:rPr>
          <w:rFonts w:eastAsia="方正黑体_GBK" w:hint="eastAsia"/>
          <w:sz w:val="32"/>
          <w:szCs w:val="32"/>
        </w:rPr>
        <w:t>年支出预算情况说明</w:t>
      </w:r>
    </w:p>
    <w:p>
      <w:pPr>
        <w:pStyle w:val="22"/>
        <w:spacing w:line="560" w:lineRule="exact"/>
        <w:ind w:firstLineChars="200" w:firstLine="640"/>
        <w:rPr>
          <w:rFonts w:eastAsia="方正仿宋_GBK"/>
          <w:sz w:val="32"/>
          <w:szCs w:val="32"/>
        </w:rPr>
      </w:pPr>
      <w:r>
        <w:rPr>
          <w:rFonts w:eastAsia="方正仿宋_GBK" w:hint="eastAsia"/>
          <w:sz w:val="32"/>
          <w:szCs w:val="32"/>
        </w:rPr>
        <w:t>滨州海关</w:t>
      </w:r>
      <w:r>
        <w:rPr>
          <w:rFonts w:eastAsia="方正仿宋_GBK"/>
          <w:sz w:val="32"/>
          <w:szCs w:val="32"/>
        </w:rPr>
        <w:t>2026</w:t>
      </w:r>
      <w:r>
        <w:rPr>
          <w:rFonts w:eastAsia="方正仿宋_GBK" w:hint="eastAsia"/>
          <w:sz w:val="32"/>
          <w:szCs w:val="32"/>
        </w:rPr>
        <w:t>年支出预算</w:t>
      </w:r>
      <w:r>
        <w:rPr>
          <w:rFonts w:eastAsia="方正仿宋_GBK"/>
          <w:sz w:val="32"/>
          <w:szCs w:val="32"/>
        </w:rPr>
        <w:t>2424.62</w:t>
      </w:r>
      <w:r>
        <w:rPr>
          <w:rFonts w:eastAsia="方正仿宋_GBK" w:hint="eastAsia"/>
          <w:sz w:val="32"/>
          <w:szCs w:val="32"/>
        </w:rPr>
        <w:t>万元，其中：基本支出</w:t>
      </w:r>
      <w:r>
        <w:rPr>
          <w:rFonts w:eastAsia="方正仿宋_GBK"/>
          <w:sz w:val="32"/>
          <w:szCs w:val="32"/>
        </w:rPr>
        <w:t>2358.14</w:t>
      </w:r>
      <w:r>
        <w:rPr>
          <w:rFonts w:eastAsia="方正仿宋_GBK" w:hint="eastAsia"/>
          <w:sz w:val="32"/>
          <w:szCs w:val="32"/>
        </w:rPr>
        <w:t>万元，占</w:t>
      </w:r>
      <w:r>
        <w:rPr>
          <w:rFonts w:eastAsia="方正仿宋_GBK"/>
          <w:sz w:val="32"/>
          <w:szCs w:val="32"/>
        </w:rPr>
        <w:t>97.26%</w:t>
      </w:r>
      <w:r>
        <w:rPr>
          <w:rFonts w:eastAsia="方正仿宋_GBK" w:hint="eastAsia"/>
          <w:sz w:val="32"/>
          <w:szCs w:val="32"/>
        </w:rPr>
        <w:t>；项目支出</w:t>
      </w:r>
      <w:r>
        <w:rPr>
          <w:rFonts w:eastAsia="方正仿宋_GBK"/>
          <w:sz w:val="32"/>
          <w:szCs w:val="32"/>
        </w:rPr>
        <w:t>66.48</w:t>
      </w:r>
      <w:r>
        <w:rPr>
          <w:rFonts w:eastAsia="方正仿宋_GBK" w:hint="eastAsia"/>
          <w:sz w:val="32"/>
          <w:szCs w:val="32"/>
        </w:rPr>
        <w:t>万元，占</w:t>
      </w:r>
      <w:r>
        <w:rPr>
          <w:rFonts w:eastAsia="方正仿宋_GBK"/>
          <w:sz w:val="32"/>
          <w:szCs w:val="32"/>
        </w:rPr>
        <w:t>2.74%</w:t>
      </w:r>
      <w:r>
        <w:rPr>
          <w:rFonts w:eastAsia="方正仿宋_GBK" w:hint="eastAsia"/>
          <w:sz w:val="32"/>
          <w:szCs w:val="32"/>
        </w:rPr>
        <w:t>。</w:t>
      </w:r>
    </w:p>
    <w:p>
      <w:pPr>
        <w:pStyle w:val="22"/>
        <w:rPr>
          <w:rFonts w:eastAsia="方正黑体_GBK"/>
          <w:sz w:val="32"/>
          <w:szCs w:val="32"/>
        </w:rPr>
      </w:pPr>
      <w:r>
        <w:rPr>
          <w:rFonts w:eastAsia="方正黑体_GBK"/>
          <w:sz w:val="32"/>
          <w:szCs w:val="32"/>
        </w:rPr>
        <w:drawing>
          <wp:inline distT="0" distB="0" distL="85723" distR="85723">
            <wp:extent cx="4581455" cy="2752683"/>
            <wp:effectExtent l="0" t="0" r="0" b="0"/>
            <wp:docPr id="7" name="图片"/>
            <wp:cNvGraphicFramePr>
              <a:graphicFrameLocks noChangeAspect="1"/>
            </wp:cNvGraphicFramePr>
            <a:graphic>
              <a:graphicData uri="http://schemas.openxmlformats.org/drawingml/2006/picture">
                <pic:pic>
                  <pic:nvPicPr>
                    <pic:cNvPr id="9" name="图片 9"/>
                    <pic:cNvPicPr/>
                  </pic:nvPicPr>
                  <pic:blipFill>
                    <a:blip r:embed="rId6"/>
                    <a:stretch>
                      <a:fillRect/>
                    </a:stretch>
                  </pic:blipFill>
                  <pic:spPr>
                    <a:xfrm rot="0">
                      <a:off x="0" y="0"/>
                      <a:ext cx="4581455" cy="2752683"/>
                    </a:xfrm>
                    <a:prstGeom prst="rect"/>
                    <a:noFill/>
                    <a:ln w="9525" cmpd="sng" cap="flat">
                      <a:noFill/>
                      <a:prstDash val="solid"/>
                      <a:miter/>
                    </a:ln>
                  </pic:spPr>
                </pic:pic>
              </a:graphicData>
            </a:graphic>
          </wp:inline>
        </w:drawing>
      </w:r>
    </w:p>
    <w:p>
      <w:pPr>
        <w:pStyle w:val="22"/>
        <w:spacing w:line="560" w:lineRule="exact"/>
        <w:ind w:firstLineChars="200" w:firstLine="640"/>
        <w:rPr>
          <w:rFonts w:eastAsia="方正黑体_GBK"/>
          <w:sz w:val="32"/>
          <w:szCs w:val="32"/>
        </w:rPr>
      </w:pPr>
      <w:r>
        <w:rPr>
          <w:rFonts w:eastAsia="方正黑体_GBK" w:hint="eastAsia"/>
          <w:sz w:val="32"/>
          <w:szCs w:val="32"/>
        </w:rPr>
        <w:t>四、关于滨州海关202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滨州海关20</w:t>
      </w:r>
      <w:r>
        <w:rPr>
          <w:rFonts w:ascii="Times New Roman" w:eastAsia="方正仿宋_GBK" w:hAnsi="Times New Roman"/>
          <w:sz w:val="32"/>
          <w:szCs w:val="32"/>
        </w:rPr>
        <w:t>26</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1160.41</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sz w:val="32"/>
          <w:szCs w:val="32"/>
        </w:rPr>
        <w:t>1160.41</w:t>
      </w:r>
      <w:r>
        <w:rPr>
          <w:rFonts w:ascii="Times New Roman" w:eastAsia="方正仿宋_GBK" w:hAnsi="Times New Roman" w:hint="eastAsia"/>
          <w:sz w:val="32"/>
          <w:szCs w:val="32"/>
        </w:rPr>
        <w:t>万元。支出包括：一般公共服务支出</w:t>
      </w:r>
      <w:r>
        <w:rPr>
          <w:rFonts w:ascii="Times New Roman" w:eastAsia="方正仿宋_GBK" w:hAnsi="Times New Roman"/>
          <w:sz w:val="32"/>
          <w:szCs w:val="32"/>
        </w:rPr>
        <w:t>870.58</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111.03</w:t>
      </w:r>
      <w:r>
        <w:rPr>
          <w:rFonts w:ascii="Times New Roman" w:eastAsia="方正仿宋_GBK" w:hAnsi="Times New Roman" w:hint="eastAsia"/>
          <w:sz w:val="32"/>
          <w:szCs w:val="32"/>
        </w:rPr>
        <w:t>万元、卫生健康支出</w:t>
      </w:r>
      <w:r>
        <w:rPr>
          <w:rFonts w:ascii="Times New Roman" w:eastAsia="方正仿宋_GBK" w:hAnsi="Times New Roman"/>
          <w:sz w:val="32"/>
          <w:szCs w:val="32"/>
        </w:rPr>
        <w:t>42.56</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136.24</w:t>
      </w:r>
      <w:r>
        <w:rPr>
          <w:rFonts w:ascii="Times New Roman" w:eastAsia="方正仿宋_GBK" w:hAnsi="Times New Roman" w:hint="eastAsia"/>
          <w:sz w:val="32"/>
          <w:szCs w:val="32"/>
        </w:rPr>
        <w:t>万元。</w:t>
      </w:r>
    </w:p>
    <w:p>
      <w:pPr>
        <w:rPr>
          <w:rFonts w:ascii="Times New Roman" w:eastAsia="方正仿宋_GBK" w:hAnsi="Times New Roman"/>
          <w:sz w:val="32"/>
          <w:szCs w:val="32"/>
        </w:rPr>
      </w:pPr>
      <w:r>
        <w:rPr>
          <w:rFonts w:ascii="Times New Roman" w:eastAsia="方正仿宋_GBK" w:hAnsi="Times New Roman"/>
          <w:sz w:val="32"/>
          <w:szCs w:val="32"/>
        </w:rPr>
        <w:drawing>
          <wp:inline distT="0" distB="0" distL="85723" distR="85723">
            <wp:extent cx="4581455" cy="2752683"/>
            <wp:effectExtent l="0" t="0" r="0" b="0"/>
            <wp:docPr id="10" name="图片"/>
            <wp:cNvGraphicFramePr>
              <a:graphicFrameLocks noChangeAspect="1"/>
            </wp:cNvGraphicFramePr>
            <a:graphic>
              <a:graphicData uri="http://schemas.openxmlformats.org/drawingml/2006/picture">
                <pic:pic>
                  <pic:nvPicPr>
                    <pic:cNvPr id="12" name="图片 12"/>
                    <pic:cNvPicPr/>
                  </pic:nvPicPr>
                  <pic:blipFill>
                    <a:blip r:embed="rId7"/>
                    <a:stretch>
                      <a:fillRect/>
                    </a:stretch>
                  </pic:blipFill>
                  <pic:spPr>
                    <a:xfrm rot="0">
                      <a:off x="0" y="0"/>
                      <a:ext cx="4581455" cy="2752683"/>
                    </a:xfrm>
                    <a:prstGeom prst="rect"/>
                    <a:noFill/>
                    <a:ln w="9525" cmpd="sng" cap="flat">
                      <a:noFill/>
                      <a:prstDash val="solid"/>
                      <a:miter/>
                    </a:ln>
                  </pic:spPr>
                </pic:pic>
              </a:graphicData>
            </a:graphic>
          </wp:inline>
        </w:drawing>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五、关于滨州海关202</w:t>
      </w:r>
      <w:r>
        <w:rPr>
          <w:rFonts w:ascii="Times New Roman" w:eastAsia="方正黑体_GBK" w:hAnsi="Times New Roman"/>
          <w:sz w:val="32"/>
          <w:szCs w:val="32"/>
        </w:rPr>
        <w:t>6</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滨州海关202</w:t>
      </w:r>
      <w:r>
        <w:rPr>
          <w:rFonts w:ascii="Times New Roman" w:eastAsia="方正仿宋_GBK" w:hAnsi="Times New Roman"/>
          <w:sz w:val="32"/>
          <w:szCs w:val="32"/>
        </w:rPr>
        <w:t>6</w:t>
      </w:r>
      <w:r>
        <w:rPr>
          <w:rFonts w:ascii="Times New Roman" w:eastAsia="方正仿宋_GBK" w:hAnsi="Times New Roman" w:hint="eastAsia"/>
          <w:sz w:val="32"/>
          <w:szCs w:val="32"/>
        </w:rPr>
        <w:t>年一般公共预算当年财政拨款预算</w:t>
      </w:r>
      <w:r>
        <w:rPr>
          <w:rFonts w:ascii="Times New Roman" w:eastAsia="方正仿宋_GBK" w:hAnsi="Times New Roman"/>
          <w:sz w:val="32"/>
          <w:szCs w:val="32"/>
        </w:rPr>
        <w:t>1160.41</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增加144.08</w:t>
      </w:r>
      <w:r>
        <w:rPr>
          <w:rFonts w:ascii="Times New Roman" w:eastAsia="方正仿宋_GBK" w:hAnsi="Times New Roman" w:hint="eastAsia"/>
          <w:sz w:val="32"/>
          <w:szCs w:val="32"/>
        </w:rPr>
        <w:t>万元，</w:t>
      </w:r>
      <w:r>
        <w:rPr>
          <w:rFonts w:ascii="Times New Roman" w:eastAsia="方正仿宋_GBK" w:hAnsi="Times New Roman"/>
          <w:sz w:val="32"/>
          <w:szCs w:val="32"/>
        </w:rPr>
        <w:t>增长14.17</w:t>
      </w:r>
      <w:r>
        <w:rPr>
          <w:rFonts w:ascii="Times New Roman" w:eastAsia="方正仿宋_GBK" w:hAnsi="Times New Roman" w:hint="eastAsia"/>
          <w:sz w:val="32"/>
          <w:szCs w:val="32"/>
        </w:rPr>
        <w:t>%。2025年</w:t>
      </w:r>
      <w:r>
        <w:rPr>
          <w:rFonts w:ascii="Times New Roman" w:eastAsia="方正仿宋_GBK" w:hAnsi="Times New Roman"/>
          <w:sz w:val="32"/>
          <w:szCs w:val="32"/>
        </w:rPr>
        <w:t>，</w:t>
      </w:r>
      <w:r>
        <w:rPr>
          <w:rFonts w:ascii="Times New Roman" w:eastAsia="方正仿宋_GBK" w:hAnsi="Times New Roman" w:hint="eastAsia"/>
          <w:sz w:val="32"/>
          <w:szCs w:val="32"/>
        </w:rPr>
        <w:t>滨州</w:t>
      </w:r>
      <w:r>
        <w:rPr>
          <w:rFonts w:ascii="Times New Roman" w:eastAsia="方正仿宋_GBK" w:hAnsi="Times New Roman"/>
          <w:sz w:val="32"/>
          <w:szCs w:val="32"/>
        </w:rPr>
        <w:t>海关坚决落实党政机关习惯过紧日子要求，</w:t>
      </w:r>
      <w:r>
        <w:rPr>
          <w:rFonts w:ascii="Times New Roman" w:eastAsia="方正仿宋_GBK" w:hAnsi="Times New Roman" w:hint="eastAsia"/>
          <w:sz w:val="32"/>
          <w:szCs w:val="32"/>
        </w:rPr>
        <w:t>全面加强</w:t>
      </w:r>
      <w:r>
        <w:rPr>
          <w:rFonts w:ascii="Times New Roman" w:eastAsia="方正仿宋_GBK" w:hAnsi="Times New Roman"/>
          <w:sz w:val="32"/>
          <w:szCs w:val="32"/>
        </w:rPr>
        <w:t>各类资源统筹，坚持钱要花到要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w:t>
      </w:r>
      <w:r>
        <w:rPr>
          <w:rFonts w:ascii="Times New Roman" w:eastAsia="方正仿宋_GBK" w:hAnsi="Times New Roman"/>
          <w:sz w:val="32"/>
          <w:szCs w:val="32"/>
        </w:rPr>
        <w:t>同时合理保障了海关关务、海关监管等必要支出需求，体现在有关支出科目中。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年部门预算中，一般公共预算当年财政拨款用于以下方面：一般公共服务支出</w:t>
      </w:r>
      <w:r>
        <w:rPr>
          <w:rFonts w:ascii="Times New Roman" w:eastAsia="方正仿宋_GBK" w:hAnsi="Times New Roman"/>
          <w:sz w:val="32"/>
          <w:szCs w:val="32"/>
        </w:rPr>
        <w:t>870.58</w:t>
      </w:r>
      <w:r>
        <w:rPr>
          <w:rFonts w:ascii="Times New Roman" w:eastAsia="方正仿宋_GBK" w:hAnsi="Times New Roman" w:hint="eastAsia"/>
          <w:sz w:val="32"/>
          <w:szCs w:val="32"/>
        </w:rPr>
        <w:t>万元，占</w:t>
      </w:r>
      <w:r>
        <w:rPr>
          <w:rFonts w:ascii="Times New Roman" w:eastAsia="方正仿宋_GBK" w:hAnsi="Times New Roman"/>
          <w:sz w:val="32"/>
          <w:szCs w:val="32"/>
        </w:rPr>
        <w:t>75.02</w:t>
      </w:r>
      <w:r>
        <w:rPr>
          <w:rFonts w:ascii="Times New Roman" w:eastAsia="方正仿宋_GBK" w:hAnsi="Times New Roman" w:hint="eastAsia"/>
          <w:sz w:val="32"/>
          <w:szCs w:val="32"/>
        </w:rPr>
        <w:t>%；社会保障和就业支出</w:t>
      </w:r>
      <w:r>
        <w:rPr>
          <w:rFonts w:ascii="Times New Roman" w:eastAsia="方正仿宋_GBK" w:hAnsi="Times New Roman"/>
          <w:sz w:val="32"/>
          <w:szCs w:val="32"/>
        </w:rPr>
        <w:t>111.03</w:t>
      </w:r>
      <w:r>
        <w:rPr>
          <w:rFonts w:ascii="Times New Roman" w:eastAsia="方正仿宋_GBK" w:hAnsi="Times New Roman" w:hint="eastAsia"/>
          <w:sz w:val="32"/>
          <w:szCs w:val="32"/>
        </w:rPr>
        <w:t>万元，占</w:t>
      </w:r>
      <w:r>
        <w:rPr>
          <w:rFonts w:ascii="Times New Roman" w:eastAsia="方正仿宋_GBK" w:hAnsi="Times New Roman"/>
          <w:sz w:val="32"/>
          <w:szCs w:val="32"/>
        </w:rPr>
        <w:t>9.57</w:t>
      </w:r>
      <w:r>
        <w:rPr>
          <w:rFonts w:ascii="Times New Roman" w:eastAsia="方正仿宋_GBK" w:hAnsi="Times New Roman" w:hint="eastAsia"/>
          <w:sz w:val="32"/>
          <w:szCs w:val="32"/>
        </w:rPr>
        <w:t>%；卫生健康支出</w:t>
      </w:r>
      <w:r>
        <w:rPr>
          <w:rFonts w:ascii="Times New Roman" w:eastAsia="方正仿宋_GBK" w:hAnsi="Times New Roman"/>
          <w:sz w:val="32"/>
          <w:szCs w:val="32"/>
        </w:rPr>
        <w:t>42.56</w:t>
      </w:r>
      <w:r>
        <w:rPr>
          <w:rFonts w:ascii="Times New Roman" w:eastAsia="方正仿宋_GBK" w:hAnsi="Times New Roman" w:hint="eastAsia"/>
          <w:sz w:val="32"/>
          <w:szCs w:val="32"/>
        </w:rPr>
        <w:t>万元，占3.</w:t>
      </w:r>
      <w:r>
        <w:rPr>
          <w:rFonts w:ascii="Times New Roman" w:eastAsia="方正仿宋_GBK" w:hAnsi="Times New Roman"/>
          <w:sz w:val="32"/>
          <w:szCs w:val="32"/>
        </w:rPr>
        <w:t>67</w:t>
      </w:r>
      <w:r>
        <w:rPr>
          <w:rFonts w:ascii="Times New Roman" w:eastAsia="方正仿宋_GBK" w:hAnsi="Times New Roman" w:hint="eastAsia"/>
          <w:sz w:val="32"/>
          <w:szCs w:val="32"/>
        </w:rPr>
        <w:t>%；住房保障支出13</w:t>
      </w:r>
      <w:r>
        <w:rPr>
          <w:rFonts w:ascii="Times New Roman" w:eastAsia="方正仿宋_GBK" w:hAnsi="Times New Roman"/>
          <w:sz w:val="32"/>
          <w:szCs w:val="32"/>
        </w:rPr>
        <w:t>6.24</w:t>
      </w:r>
      <w:r>
        <w:rPr>
          <w:rFonts w:ascii="Times New Roman" w:eastAsia="方正仿宋_GBK" w:hAnsi="Times New Roman" w:hint="eastAsia"/>
          <w:sz w:val="32"/>
          <w:szCs w:val="32"/>
        </w:rPr>
        <w:t>万元，占</w:t>
      </w:r>
      <w:r>
        <w:rPr>
          <w:rFonts w:ascii="Times New Roman" w:eastAsia="方正仿宋_GBK" w:hAnsi="Times New Roman"/>
          <w:sz w:val="32"/>
          <w:szCs w:val="32"/>
        </w:rPr>
        <w:t>11.74</w:t>
      </w:r>
      <w:r>
        <w:rPr>
          <w:rFonts w:ascii="Times New Roman" w:eastAsia="方正仿宋_GBK" w:hAnsi="Times New Roman" w:hint="eastAsia"/>
          <w:sz w:val="32"/>
          <w:szCs w:val="32"/>
        </w:rPr>
        <w:t>%。</w:t>
      </w:r>
    </w:p>
    <w:p>
      <w:pPr>
        <w:rPr>
          <w:rFonts w:ascii="Times New Roman" w:eastAsia="方正楷体_GBK" w:hAnsi="Times New Roman"/>
          <w:b/>
          <w:bCs/>
          <w:sz w:val="32"/>
          <w:szCs w:val="32"/>
        </w:rPr>
      </w:pPr>
      <w:r>
        <w:rPr>
          <w:rFonts w:ascii="Times New Roman" w:eastAsia="方正楷体_GBK" w:hAnsi="Times New Roman"/>
          <w:b/>
          <w:bCs/>
          <w:sz w:val="32"/>
          <w:szCs w:val="32"/>
        </w:rPr>
        <w:drawing>
          <wp:inline distT="0" distB="0" distL="85723" distR="85723">
            <wp:extent cx="4581455" cy="2752683"/>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8"/>
                    <a:stretch>
                      <a:fillRect/>
                    </a:stretch>
                  </pic:blipFill>
                  <pic:spPr>
                    <a:xfrm rot="0">
                      <a:off x="0" y="0"/>
                      <a:ext cx="4581455" cy="2752683"/>
                    </a:xfrm>
                    <a:prstGeom prst="rect"/>
                    <a:noFill/>
                    <a:ln w="9525" cmpd="sng" cap="flat">
                      <a:noFill/>
                      <a:prstDash val="solid"/>
                      <a:miter/>
                    </a:ln>
                  </pic:spPr>
                </pic:pic>
              </a:graphicData>
            </a:graphic>
          </wp:inline>
        </w:drawing>
      </w:r>
    </w:p>
    <w:p>
      <w:pPr>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highlight w:val="lightGray"/>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870.58</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增加118.94</w:t>
      </w:r>
      <w:r>
        <w:rPr>
          <w:rFonts w:ascii="Times New Roman" w:eastAsia="方正仿宋_GBK" w:hAnsi="Times New Roman" w:hint="eastAsia"/>
          <w:sz w:val="32"/>
          <w:szCs w:val="32"/>
        </w:rPr>
        <w:t>万元，</w:t>
      </w:r>
      <w:r>
        <w:rPr>
          <w:rFonts w:ascii="Times New Roman" w:eastAsia="方正仿宋_GBK" w:hAnsi="Times New Roman"/>
          <w:sz w:val="32"/>
          <w:szCs w:val="32"/>
        </w:rPr>
        <w:t>增长15.82</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804.10</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增加132.82</w:t>
      </w:r>
      <w:r>
        <w:rPr>
          <w:rFonts w:ascii="Times New Roman" w:eastAsia="方正仿宋_GBK" w:hAnsi="Times New Roman" w:hint="eastAsia"/>
          <w:sz w:val="32"/>
          <w:szCs w:val="32"/>
        </w:rPr>
        <w:t>万元，</w:t>
      </w:r>
      <w:r>
        <w:rPr>
          <w:rFonts w:ascii="Times New Roman" w:eastAsia="方正仿宋_GBK" w:hAnsi="Times New Roman"/>
          <w:sz w:val="32"/>
          <w:szCs w:val="32"/>
        </w:rPr>
        <w:t>增长19.79%</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（2）一般行政管理事务（项）202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0.50</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减少0.50</w:t>
      </w:r>
      <w:r>
        <w:rPr>
          <w:rFonts w:ascii="Times New Roman" w:eastAsia="方正仿宋_GBK" w:hAnsi="Times New Roman" w:hint="eastAsia"/>
          <w:sz w:val="32"/>
          <w:szCs w:val="32"/>
        </w:rPr>
        <w:t>万元，</w:t>
      </w:r>
      <w:r>
        <w:rPr>
          <w:rFonts w:ascii="Times New Roman" w:eastAsia="方正仿宋_GBK" w:hAnsi="Times New Roman"/>
          <w:sz w:val="32"/>
          <w:szCs w:val="32"/>
        </w:rPr>
        <w:t>下降50</w:t>
      </w:r>
      <w:r>
        <w:rPr>
          <w:rFonts w:ascii="Times New Roman" w:eastAsia="方正仿宋_GBK" w:hAnsi="Times New Roman" w:hint="eastAsia"/>
          <w:sz w:val="32"/>
          <w:szCs w:val="32"/>
        </w:rPr>
        <w:t>%。主要是AEO项目</w:t>
      </w:r>
      <w:r>
        <w:rPr>
          <w:rFonts w:ascii="Times New Roman" w:eastAsia="方正仿宋_GBK" w:hAnsi="Times New Roman"/>
          <w:sz w:val="32"/>
          <w:szCs w:val="32"/>
        </w:rPr>
        <w:t>支出减少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（3）缉私办案（项）202</w:t>
      </w:r>
      <w:r>
        <w:rPr>
          <w:rFonts w:ascii="Times New Roman" w:eastAsia="方正仿宋_GBK" w:hAnsi="Times New Roman"/>
          <w:sz w:val="32"/>
          <w:szCs w:val="32"/>
        </w:rPr>
        <w:t>6</w:t>
      </w:r>
      <w:r>
        <w:rPr>
          <w:rFonts w:ascii="Times New Roman" w:eastAsia="方正仿宋_GBK" w:hAnsi="Times New Roman" w:hint="eastAsia"/>
          <w:sz w:val="32"/>
          <w:szCs w:val="32"/>
        </w:rPr>
        <w:t>年预算4.</w:t>
      </w:r>
      <w:r>
        <w:rPr>
          <w:rFonts w:ascii="Times New Roman" w:eastAsia="方正仿宋_GBK" w:hAnsi="Times New Roman"/>
          <w:sz w:val="32"/>
          <w:szCs w:val="32"/>
        </w:rPr>
        <w:t>5</w:t>
      </w:r>
      <w:r>
        <w:rPr>
          <w:rFonts w:ascii="Times New Roman" w:eastAsia="方正仿宋_GBK" w:hAnsi="Times New Roman" w:hint="eastAsia"/>
          <w:sz w:val="32"/>
          <w:szCs w:val="32"/>
        </w:rPr>
        <w:t>0万元，比202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年执行数增加</w:t>
      </w:r>
      <w:r>
        <w:rPr>
          <w:rFonts w:ascii="Times New Roman" w:eastAsia="方正仿宋_GBK" w:hAnsi="Times New Roman"/>
          <w:sz w:val="32"/>
          <w:szCs w:val="32"/>
        </w:rPr>
        <w:t>0.50</w:t>
      </w:r>
      <w:r>
        <w:rPr>
          <w:rFonts w:ascii="Times New Roman" w:eastAsia="方正仿宋_GBK" w:hAnsi="Times New Roman" w:hint="eastAsia"/>
          <w:sz w:val="32"/>
          <w:szCs w:val="32"/>
        </w:rPr>
        <w:t>万元，增长</w:t>
      </w:r>
      <w:r>
        <w:rPr>
          <w:rFonts w:ascii="Times New Roman" w:eastAsia="方正仿宋_GBK" w:hAnsi="Times New Roman"/>
          <w:sz w:val="32"/>
          <w:szCs w:val="32"/>
        </w:rPr>
        <w:t>12.50</w:t>
      </w:r>
      <w:r>
        <w:rPr>
          <w:rFonts w:ascii="Times New Roman" w:eastAsia="方正仿宋_GBK" w:hAnsi="Times New Roman" w:hint="eastAsia"/>
          <w:sz w:val="32"/>
          <w:szCs w:val="32"/>
        </w:rPr>
        <w:t>%。主要为缉私办案支出增加。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（4）海关关务（项）202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43.48</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增加4.62</w:t>
      </w:r>
      <w:r>
        <w:rPr>
          <w:rFonts w:ascii="Times New Roman" w:eastAsia="方正仿宋_GBK" w:hAnsi="Times New Roman" w:hint="eastAsia"/>
          <w:sz w:val="32"/>
          <w:szCs w:val="32"/>
        </w:rPr>
        <w:t>万元，</w:t>
      </w:r>
      <w:r>
        <w:rPr>
          <w:rFonts w:ascii="Times New Roman" w:eastAsia="方正仿宋_GBK" w:hAnsi="Times New Roman"/>
          <w:sz w:val="32"/>
          <w:szCs w:val="32"/>
        </w:rPr>
        <w:t>增长11.89</w:t>
      </w:r>
      <w:r>
        <w:rPr>
          <w:rFonts w:ascii="Times New Roman" w:eastAsia="方正仿宋_GBK" w:hAnsi="Times New Roman" w:hint="eastAsia"/>
          <w:sz w:val="32"/>
          <w:szCs w:val="32"/>
        </w:rPr>
        <w:t>%。主要是海关业务保障与能力提升项目支出</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eastAsia="方正仿宋_GBK" w:hAnsi="Times New Roman" w:hint="eastAsia"/>
          <w:sz w:val="32"/>
          <w:szCs w:val="32"/>
        </w:rPr>
        <w:t>5）海关监管（项）202</w:t>
      </w:r>
      <w:r>
        <w:rPr>
          <w:rFonts w:ascii="Times New Roman" w:eastAsia="方正仿宋_GBK" w:hAnsi="Times New Roman"/>
          <w:sz w:val="32"/>
          <w:szCs w:val="32"/>
        </w:rPr>
        <w:t>6</w:t>
      </w:r>
      <w:r>
        <w:rPr>
          <w:rFonts w:ascii="Times New Roman" w:eastAsia="方正仿宋_GBK" w:hAnsi="Times New Roman" w:hint="eastAsia"/>
          <w:sz w:val="32"/>
          <w:szCs w:val="32"/>
        </w:rPr>
        <w:t>年预算2.00万元，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持平</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（6）检验检疫（项）202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16</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年执行数减少</w:t>
      </w:r>
      <w:r>
        <w:rPr>
          <w:rFonts w:ascii="Times New Roman" w:eastAsia="方正仿宋_GBK" w:hAnsi="Times New Roman"/>
          <w:sz w:val="32"/>
          <w:szCs w:val="32"/>
        </w:rPr>
        <w:t>18.5</w:t>
      </w:r>
      <w:r>
        <w:rPr>
          <w:rFonts w:ascii="Times New Roman" w:eastAsia="方正仿宋_GBK" w:hAnsi="Times New Roman" w:hint="eastAsia"/>
          <w:sz w:val="32"/>
          <w:szCs w:val="32"/>
        </w:rPr>
        <w:t>万元，下降</w:t>
      </w:r>
      <w:r>
        <w:rPr>
          <w:rFonts w:ascii="Times New Roman" w:eastAsia="方正仿宋_GBK" w:hAnsi="Times New Roman"/>
          <w:sz w:val="32"/>
          <w:szCs w:val="32"/>
        </w:rPr>
        <w:t>53.62%</w:t>
      </w:r>
      <w:r>
        <w:rPr>
          <w:rFonts w:ascii="Times New Roman" w:eastAsia="方正仿宋_GBK" w:hAnsi="Times New Roman" w:hint="eastAsia"/>
          <w:sz w:val="32"/>
          <w:szCs w:val="32"/>
        </w:rPr>
        <w:t>。主要是进出口商品质量安全检验监管专项支出减少。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2．社会保障和就业支出（类）行政事业单位养老支出（款）202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111.03</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增加9.08</w:t>
      </w:r>
      <w:r>
        <w:rPr>
          <w:rFonts w:ascii="Times New Roman" w:eastAsia="方正仿宋_GBK" w:hAnsi="Times New Roman" w:hint="eastAsia"/>
          <w:sz w:val="32"/>
          <w:szCs w:val="32"/>
        </w:rPr>
        <w:t>万元，增长</w:t>
      </w:r>
      <w:r>
        <w:rPr>
          <w:rFonts w:ascii="Times New Roman" w:eastAsia="方正仿宋_GBK" w:hAnsi="Times New Roman"/>
          <w:sz w:val="32"/>
          <w:szCs w:val="32"/>
        </w:rPr>
        <w:t>8.91%</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8.16</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减少0.37</w:t>
      </w:r>
      <w:r>
        <w:rPr>
          <w:rFonts w:ascii="Times New Roman" w:eastAsia="方正仿宋_GBK" w:hAnsi="Times New Roman" w:hint="eastAsia"/>
          <w:sz w:val="32"/>
          <w:szCs w:val="32"/>
        </w:rPr>
        <w:t>万元，</w:t>
      </w:r>
      <w:r>
        <w:rPr>
          <w:rFonts w:ascii="Times New Roman" w:eastAsia="方正仿宋_GBK" w:hAnsi="Times New Roman"/>
          <w:sz w:val="32"/>
          <w:szCs w:val="32"/>
        </w:rPr>
        <w:t>下降4.34</w:t>
      </w:r>
      <w:r>
        <w:rPr>
          <w:rFonts w:ascii="Times New Roman" w:eastAsia="方正仿宋_GBK" w:hAnsi="Times New Roman" w:hint="eastAsia"/>
          <w:sz w:val="32"/>
          <w:szCs w:val="32"/>
        </w:rPr>
        <w:t>%。主要是行政单位离退休经费</w:t>
      </w:r>
      <w:r>
        <w:rPr>
          <w:rFonts w:ascii="Times New Roman" w:eastAsia="方正仿宋_GBK" w:hAnsi="Times New Roman"/>
          <w:sz w:val="32"/>
          <w:szCs w:val="32"/>
        </w:rPr>
        <w:t>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（2）机关事业单位基本养老保险缴费支出（项）202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65.45</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w:t>
      </w:r>
      <w:r>
        <w:rPr>
          <w:rFonts w:ascii="Times New Roman" w:eastAsia="方正仿宋_GBK" w:hAnsi="Times New Roman"/>
          <w:sz w:val="32"/>
          <w:szCs w:val="32"/>
        </w:rPr>
        <w:t>增加5.09</w:t>
      </w:r>
      <w:r>
        <w:rPr>
          <w:rFonts w:ascii="Times New Roman" w:eastAsia="方正仿宋_GBK" w:hAnsi="Times New Roman" w:hint="eastAsia"/>
          <w:sz w:val="32"/>
          <w:szCs w:val="32"/>
        </w:rPr>
        <w:t>万元，</w:t>
      </w:r>
      <w:r>
        <w:rPr>
          <w:rFonts w:ascii="Times New Roman" w:eastAsia="方正仿宋_GBK" w:hAnsi="Times New Roman"/>
          <w:sz w:val="32"/>
          <w:szCs w:val="32"/>
        </w:rPr>
        <w:t>增长8.43</w:t>
      </w:r>
      <w:r>
        <w:rPr>
          <w:rFonts w:ascii="Times New Roman" w:eastAsia="方正仿宋_GBK" w:hAnsi="Times New Roman" w:hint="eastAsia"/>
          <w:sz w:val="32"/>
          <w:szCs w:val="32"/>
        </w:rPr>
        <w:t>%。主要是基本养老保险单位缴费经费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（3）机关事业单位职业年金缴费支出（项）202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37.42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增加4.36</w:t>
      </w:r>
      <w:r>
        <w:rPr>
          <w:rFonts w:ascii="Times New Roman" w:eastAsia="方正仿宋_GBK" w:hAnsi="Times New Roman" w:hint="eastAsia"/>
          <w:sz w:val="32"/>
          <w:szCs w:val="32"/>
        </w:rPr>
        <w:t>万元，</w:t>
      </w:r>
      <w:r>
        <w:rPr>
          <w:rFonts w:ascii="Times New Roman" w:eastAsia="方正仿宋_GBK" w:hAnsi="Times New Roman"/>
          <w:sz w:val="32"/>
          <w:szCs w:val="32"/>
        </w:rPr>
        <w:t>增长13.19</w:t>
      </w:r>
      <w:r>
        <w:rPr>
          <w:rFonts w:ascii="Times New Roman" w:eastAsia="方正仿宋_GBK" w:hAnsi="Times New Roman" w:hint="eastAsia"/>
          <w:sz w:val="32"/>
          <w:szCs w:val="32"/>
        </w:rPr>
        <w:t>%。主要是职业年金单位缴费经费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3．卫生健康支出（类）行政事业单位医疗（款）202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42.56</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增加10.14</w:t>
      </w:r>
      <w:r>
        <w:rPr>
          <w:rFonts w:ascii="Times New Roman" w:eastAsia="方正仿宋_GBK" w:hAnsi="Times New Roman" w:hint="eastAsia"/>
          <w:sz w:val="32"/>
          <w:szCs w:val="32"/>
        </w:rPr>
        <w:t>万元，</w:t>
      </w:r>
      <w:r>
        <w:rPr>
          <w:rFonts w:ascii="Times New Roman" w:eastAsia="方正仿宋_GBK" w:hAnsi="Times New Roman"/>
          <w:sz w:val="32"/>
          <w:szCs w:val="32"/>
        </w:rPr>
        <w:t>增长31.28%</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32.84</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增加10.71</w:t>
      </w:r>
      <w:r>
        <w:rPr>
          <w:rFonts w:ascii="Times New Roman" w:eastAsia="方正仿宋_GBK" w:hAnsi="Times New Roman" w:hint="eastAsia"/>
          <w:sz w:val="32"/>
          <w:szCs w:val="32"/>
        </w:rPr>
        <w:t>万元，</w:t>
      </w:r>
      <w:r>
        <w:rPr>
          <w:rFonts w:ascii="Times New Roman" w:eastAsia="方正仿宋_GBK" w:hAnsi="Times New Roman"/>
          <w:sz w:val="32"/>
          <w:szCs w:val="32"/>
        </w:rPr>
        <w:t>增长48.40%</w:t>
      </w:r>
      <w:r>
        <w:rPr>
          <w:rFonts w:ascii="Times New Roman" w:eastAsia="方正仿宋_GBK" w:hAnsi="Times New Roman" w:hint="eastAsia"/>
          <w:sz w:val="32"/>
          <w:szCs w:val="32"/>
        </w:rPr>
        <w:t>。主要是行政单位医疗经费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sz w:val="32"/>
          <w:szCs w:val="32"/>
        </w:rPr>
        <w:t>6</w:t>
      </w:r>
      <w:r>
        <w:rPr>
          <w:rFonts w:ascii="Times New Roman" w:eastAsia="方正仿宋_GBK" w:hAnsi="Times New Roman" w:hint="eastAsia"/>
          <w:sz w:val="32"/>
          <w:szCs w:val="32"/>
        </w:rPr>
        <w:t>年预算9.</w:t>
      </w:r>
      <w:r>
        <w:rPr>
          <w:rFonts w:ascii="Times New Roman" w:eastAsia="方正仿宋_GBK" w:hAnsi="Times New Roman"/>
          <w:sz w:val="32"/>
          <w:szCs w:val="32"/>
        </w:rPr>
        <w:t>00</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减少0.48</w:t>
      </w:r>
      <w:r>
        <w:rPr>
          <w:rFonts w:ascii="Times New Roman" w:eastAsia="方正仿宋_GBK" w:hAnsi="Times New Roman" w:hint="eastAsia"/>
          <w:sz w:val="32"/>
          <w:szCs w:val="32"/>
        </w:rPr>
        <w:t>万元</w:t>
      </w:r>
      <w:r>
        <w:rPr>
          <w:rFonts w:ascii="Times New Roman" w:eastAsia="方正仿宋_GBK" w:hAnsi="Times New Roman"/>
          <w:sz w:val="32"/>
          <w:szCs w:val="32"/>
        </w:rPr>
        <w:t>，下降5.06%</w:t>
      </w:r>
      <w:r>
        <w:rPr>
          <w:rFonts w:ascii="Times New Roman" w:eastAsia="方正仿宋_GBK" w:hAnsi="Times New Roman" w:hint="eastAsia"/>
          <w:sz w:val="32"/>
          <w:szCs w:val="32"/>
        </w:rPr>
        <w:t>。主要是公务员医疗补助经费减少。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4．住房保障支出（类）住房改革支出（款）202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136.24</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年执行数增加</w:t>
      </w:r>
      <w:r>
        <w:rPr>
          <w:rFonts w:ascii="Times New Roman" w:eastAsia="方正仿宋_GBK" w:hAnsi="Times New Roman"/>
          <w:sz w:val="32"/>
          <w:szCs w:val="32"/>
        </w:rPr>
        <w:t>5.92</w:t>
      </w:r>
      <w:r>
        <w:rPr>
          <w:rFonts w:ascii="Times New Roman" w:eastAsia="方正仿宋_GBK" w:hAnsi="Times New Roman" w:hint="eastAsia"/>
          <w:sz w:val="32"/>
          <w:szCs w:val="32"/>
        </w:rPr>
        <w:t>万元，增长</w:t>
      </w:r>
      <w:r>
        <w:rPr>
          <w:rFonts w:ascii="Times New Roman" w:eastAsia="方正仿宋_GBK" w:hAnsi="Times New Roman"/>
          <w:sz w:val="32"/>
          <w:szCs w:val="32"/>
        </w:rPr>
        <w:t>4.54%</w:t>
      </w:r>
      <w:r>
        <w:rPr>
          <w:rFonts w:ascii="Times New Roman" w:eastAsia="方正仿宋_GBK" w:hAnsi="Times New Roman" w:hint="eastAsia"/>
          <w:sz w:val="32"/>
          <w:szCs w:val="32"/>
        </w:rPr>
        <w:t>。主要是缴存基数调整和职务职级变动相应增加经费支出。其中：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94.62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年执行数增加</w:t>
      </w:r>
      <w:r>
        <w:rPr>
          <w:rFonts w:ascii="Times New Roman" w:eastAsia="方正仿宋_GBK" w:hAnsi="Times New Roman"/>
          <w:sz w:val="32"/>
          <w:szCs w:val="32"/>
        </w:rPr>
        <w:t>4.34</w:t>
      </w:r>
      <w:r>
        <w:rPr>
          <w:rFonts w:ascii="Times New Roman" w:eastAsia="方正仿宋_GBK" w:hAnsi="Times New Roman" w:hint="eastAsia"/>
          <w:sz w:val="32"/>
          <w:szCs w:val="32"/>
        </w:rPr>
        <w:t>万元，增长</w:t>
      </w:r>
      <w:r>
        <w:rPr>
          <w:rFonts w:ascii="Times New Roman" w:eastAsia="方正仿宋_GBK" w:hAnsi="Times New Roman"/>
          <w:sz w:val="32"/>
          <w:szCs w:val="32"/>
        </w:rPr>
        <w:t>4.81</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41.62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年执行数增加</w:t>
      </w:r>
      <w:r>
        <w:rPr>
          <w:rFonts w:ascii="Times New Roman" w:eastAsia="方正仿宋_GBK" w:hAnsi="Times New Roman"/>
          <w:sz w:val="32"/>
          <w:szCs w:val="32"/>
        </w:rPr>
        <w:t>1.58</w:t>
      </w:r>
      <w:r>
        <w:rPr>
          <w:rFonts w:ascii="Times New Roman" w:eastAsia="方正仿宋_GBK" w:hAnsi="Times New Roman" w:hint="eastAsia"/>
          <w:sz w:val="32"/>
          <w:szCs w:val="32"/>
        </w:rPr>
        <w:t>万元，增长</w:t>
      </w:r>
      <w:r>
        <w:rPr>
          <w:rFonts w:ascii="Times New Roman" w:eastAsia="方正仿宋_GBK" w:hAnsi="Times New Roman"/>
          <w:sz w:val="32"/>
          <w:szCs w:val="32"/>
        </w:rPr>
        <w:t>3.95%</w:t>
      </w:r>
      <w:r>
        <w:rPr>
          <w:rFonts w:ascii="Times New Roman" w:eastAsia="方正仿宋_GBK" w:hAnsi="Times New Roman" w:hint="eastAsia"/>
          <w:sz w:val="32"/>
          <w:szCs w:val="32"/>
        </w:rPr>
        <w:t>。</w:t>
      </w:r>
    </w:p>
    <w:p>
      <w:pPr>
        <w:pStyle w:val="22"/>
        <w:spacing w:line="560" w:lineRule="exact"/>
        <w:ind w:firstLineChars="200" w:firstLine="640"/>
        <w:rPr>
          <w:rFonts w:eastAsia="方正黑体_GBK"/>
          <w:sz w:val="32"/>
          <w:szCs w:val="32"/>
        </w:rPr>
      </w:pPr>
      <w:r>
        <w:rPr>
          <w:rFonts w:eastAsia="方正黑体_GBK" w:hint="eastAsia"/>
          <w:sz w:val="32"/>
          <w:szCs w:val="32"/>
        </w:rPr>
        <w:t>六、关于滨州海关202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滨州海关202</w:t>
      </w:r>
      <w:r>
        <w:rPr>
          <w:rFonts w:ascii="Times New Roman" w:eastAsia="方正仿宋_GBK" w:hAnsi="Times New Roman"/>
          <w:sz w:val="32"/>
          <w:szCs w:val="32"/>
        </w:rPr>
        <w:t>6</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1160.41</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839.30</w:t>
      </w:r>
      <w:r>
        <w:rPr>
          <w:rFonts w:ascii="Times New Roman" w:eastAsia="方正仿宋_GBK" w:hAnsi="Times New Roman" w:hint="eastAsia"/>
          <w:sz w:val="32"/>
          <w:szCs w:val="32"/>
        </w:rPr>
        <w:t>万元，主要包括：基本工资、津贴补贴、奖金、绩效工资、机关事业单位基本养老保险缴费、职业年金缴费、职工基本医疗保险缴费、公务员医疗补助缴费、住房公积金、其他工资福利支出、退休费、生活补助、奖励金、其他对个人和家庭的补助；</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sz w:val="32"/>
          <w:szCs w:val="32"/>
        </w:rPr>
        <w:t>254.63</w:t>
      </w:r>
      <w:r>
        <w:rPr>
          <w:rFonts w:ascii="Times New Roman" w:eastAsia="方正仿宋_GBK" w:hAnsi="Times New Roman" w:hint="eastAsia"/>
          <w:sz w:val="32"/>
          <w:szCs w:val="32"/>
        </w:rPr>
        <w:t>万元，主要包括：印刷费、水费、电费、邮电费、取暖费、物业管理费、差旅费、维修（护）费、租赁费、公务接待费、劳务费、委托业务费、工会经费、福利费、其他交通费用、其他商品和服务支出、办公设备购置。</w:t>
      </w:r>
    </w:p>
    <w:p>
      <w:pPr>
        <w:pStyle w:val="22"/>
        <w:spacing w:line="560" w:lineRule="exact"/>
        <w:ind w:firstLineChars="200" w:firstLine="640"/>
        <w:rPr>
          <w:rFonts w:eastAsia="方正黑体_GBK"/>
          <w:sz w:val="32"/>
          <w:szCs w:val="32"/>
        </w:rPr>
      </w:pPr>
      <w:r>
        <w:rPr>
          <w:rFonts w:eastAsia="方正黑体_GBK" w:hint="eastAsia"/>
          <w:sz w:val="32"/>
          <w:szCs w:val="32"/>
        </w:rPr>
        <w:t>七、关于滨州海关202</w:t>
      </w:r>
      <w:r>
        <w:rPr>
          <w:rFonts w:eastAsia="方正黑体_GBK"/>
          <w:sz w:val="32"/>
          <w:szCs w:val="32"/>
        </w:rPr>
        <w:t>6</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滨州海关202</w:t>
      </w:r>
      <w:r>
        <w:rPr>
          <w:rFonts w:ascii="Times New Roman" w:eastAsia="方正仿宋_GBK" w:hAnsi="Times New Roman"/>
          <w:sz w:val="32"/>
          <w:szCs w:val="32"/>
        </w:rPr>
        <w:t>6</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33.14</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年预算数</w:t>
      </w:r>
      <w:r>
        <w:rPr>
          <w:rFonts w:ascii="Times New Roman" w:eastAsia="方正仿宋_GBK" w:hAnsi="Times New Roman"/>
          <w:sz w:val="32"/>
          <w:szCs w:val="32"/>
        </w:rPr>
        <w:t>增加0.9</w:t>
      </w:r>
      <w:r>
        <w:rPr>
          <w:rFonts w:ascii="Times New Roman" w:eastAsia="方正仿宋_GBK" w:hAnsi="Times New Roman" w:hint="eastAsia"/>
          <w:sz w:val="32"/>
          <w:szCs w:val="32"/>
        </w:rPr>
        <w:t>万元。其中：因公出国（境）费0万元，与202</w:t>
      </w:r>
      <w:r>
        <w:rPr>
          <w:rFonts w:ascii="Times New Roman" w:eastAsia="方正仿宋_GBK" w:hAnsi="Times New Roman"/>
          <w:sz w:val="32"/>
          <w:szCs w:val="32"/>
        </w:rPr>
        <w:t>5</w:t>
      </w:r>
      <w:r>
        <w:rPr>
          <w:rFonts w:ascii="Times New Roman" w:eastAsia="方正仿宋_GBK" w:hAnsi="Times New Roman" w:hint="eastAsia"/>
          <w:sz w:val="32"/>
          <w:szCs w:val="32"/>
        </w:rPr>
        <w:t>年预算数持平；公务用车购置费18</w:t>
      </w:r>
      <w:r>
        <w:rPr>
          <w:rFonts w:ascii="Times New Roman" w:eastAsia="方正仿宋_GBK" w:hAnsi="Times New Roman"/>
          <w:sz w:val="32"/>
          <w:szCs w:val="32"/>
        </w:rPr>
        <w:t>.90</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年预算数</w:t>
      </w:r>
      <w:r>
        <w:rPr>
          <w:rFonts w:ascii="Times New Roman" w:eastAsia="方正仿宋_GBK" w:hAnsi="Times New Roman"/>
          <w:sz w:val="32"/>
          <w:szCs w:val="32"/>
        </w:rPr>
        <w:t>增加0.90</w:t>
      </w:r>
      <w:r>
        <w:rPr>
          <w:rFonts w:ascii="Times New Roman" w:eastAsia="方正仿宋_GBK" w:hAnsi="Times New Roman" w:hint="eastAsia"/>
          <w:sz w:val="32"/>
          <w:szCs w:val="32"/>
        </w:rPr>
        <w:t>万元；公务用车运行费13.50万元，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年预算数</w:t>
      </w:r>
      <w:r>
        <w:rPr>
          <w:rFonts w:ascii="Times New Roman" w:eastAsia="方正仿宋_GBK" w:hAnsi="Times New Roman"/>
          <w:sz w:val="32"/>
          <w:szCs w:val="32"/>
        </w:rPr>
        <w:t>持平</w:t>
      </w:r>
      <w:r>
        <w:rPr>
          <w:rFonts w:ascii="Times New Roman" w:eastAsia="方正仿宋_GBK" w:hAnsi="Times New Roman" w:hint="eastAsia"/>
          <w:sz w:val="32"/>
          <w:szCs w:val="32"/>
        </w:rPr>
        <w:t>；公务接待费0.74万元，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年预算数</w:t>
      </w:r>
      <w:r>
        <w:rPr>
          <w:rFonts w:ascii="Times New Roman" w:eastAsia="方正仿宋_GBK" w:hAnsi="Times New Roman"/>
          <w:sz w:val="32"/>
          <w:szCs w:val="32"/>
        </w:rPr>
        <w:t>持平</w:t>
      </w:r>
      <w:r>
        <w:rPr>
          <w:rFonts w:ascii="Times New Roman" w:eastAsia="方正仿宋_GBK" w:hAnsi="Times New Roman" w:hint="eastAsia"/>
          <w:sz w:val="32"/>
          <w:szCs w:val="32"/>
        </w:rPr>
        <w:t>。</w:t>
      </w:r>
    </w:p>
    <w:p>
      <w:pPr>
        <w:pStyle w:val="22"/>
        <w:spacing w:line="560" w:lineRule="exact"/>
        <w:ind w:firstLineChars="200" w:firstLine="640"/>
        <w:rPr>
          <w:rFonts w:eastAsia="方正黑体_GBK"/>
          <w:sz w:val="32"/>
          <w:szCs w:val="32"/>
        </w:rPr>
      </w:pPr>
      <w:r>
        <w:rPr>
          <w:rFonts w:eastAsia="方正黑体_GBK" w:hint="eastAsia"/>
          <w:sz w:val="32"/>
          <w:szCs w:val="32"/>
        </w:rPr>
        <w:t>八、关于滨州海关202</w:t>
      </w:r>
      <w:r>
        <w:rPr>
          <w:rFonts w:eastAsia="方正黑体_GBK"/>
          <w:sz w:val="32"/>
          <w:szCs w:val="32"/>
        </w:rPr>
        <w:t>6</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滨州海关202</w:t>
      </w:r>
      <w:r>
        <w:rPr>
          <w:rFonts w:ascii="Times New Roman" w:eastAsia="方正仿宋_GBK" w:hAnsi="Times New Roman"/>
          <w:sz w:val="32"/>
          <w:szCs w:val="32"/>
        </w:rPr>
        <w:t>6</w:t>
      </w:r>
      <w:r>
        <w:rPr>
          <w:rFonts w:ascii="Times New Roman" w:eastAsia="方正仿宋_GBK" w:hAnsi="Times New Roman" w:hint="eastAsia"/>
          <w:sz w:val="32"/>
          <w:szCs w:val="32"/>
        </w:rPr>
        <w:t>年无政府性基金预算收支。</w:t>
      </w:r>
    </w:p>
    <w:p>
      <w:pPr>
        <w:pStyle w:val="22"/>
        <w:spacing w:line="560" w:lineRule="exact"/>
        <w:ind w:firstLineChars="200" w:firstLine="640"/>
        <w:rPr>
          <w:rFonts w:eastAsia="方正黑体_GBK"/>
          <w:sz w:val="32"/>
          <w:szCs w:val="32"/>
        </w:rPr>
      </w:pPr>
      <w:r>
        <w:rPr>
          <w:rFonts w:eastAsia="方正黑体_GBK" w:hint="eastAsia"/>
          <w:sz w:val="32"/>
          <w:szCs w:val="32"/>
        </w:rPr>
        <w:t>九、关于滨州海关202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滨州海关202</w:t>
      </w:r>
      <w:r>
        <w:rPr>
          <w:rFonts w:ascii="Times New Roman" w:eastAsia="方正仿宋_GBK" w:hAnsi="Times New Roman"/>
          <w:sz w:val="32"/>
          <w:szCs w:val="32"/>
        </w:rPr>
        <w:t>6</w:t>
      </w:r>
      <w:r>
        <w:rPr>
          <w:rFonts w:ascii="Times New Roman" w:eastAsia="方正仿宋_GBK" w:hAnsi="Times New Roman" w:hint="eastAsia"/>
          <w:sz w:val="32"/>
          <w:szCs w:val="32"/>
        </w:rPr>
        <w:t>年无国有资本经营预算收支。</w:t>
      </w:r>
    </w:p>
    <w:p>
      <w:pPr>
        <w:pStyle w:val="22"/>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highlight w:val="lightGray"/>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年滨州海关机关运行经费财政拨款预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254.63</w:t>
      </w:r>
      <w:r>
        <w:rPr>
          <w:rFonts w:ascii="Times New Roman" w:eastAsia="方正仿宋_GBK" w:hAnsi="Times New Roman" w:hint="eastAsia"/>
          <w:sz w:val="32"/>
          <w:szCs w:val="32"/>
        </w:rPr>
        <w:t>万元，较202</w:t>
      </w:r>
      <w:r>
        <w:rPr>
          <w:rFonts w:ascii="Times New Roman" w:eastAsia="方正仿宋_GBK" w:hAnsi="Times New Roman"/>
          <w:sz w:val="32"/>
          <w:szCs w:val="32"/>
        </w:rPr>
        <w:t>5</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增加121.27</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增长90.93</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hAnsi="Times New Roman"/>
          <w:sz w:val="32"/>
          <w:szCs w:val="32"/>
        </w:rPr>
        <w:t>外出执法经费支出增加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年滨州海关政府采购预算总额18.</w:t>
      </w:r>
      <w:r>
        <w:rPr>
          <w:rFonts w:ascii="Times New Roman" w:eastAsia="方正仿宋_GBK" w:hAnsi="Times New Roman"/>
          <w:sz w:val="32"/>
          <w:szCs w:val="32"/>
        </w:rPr>
        <w:t>00</w:t>
      </w:r>
      <w:r>
        <w:rPr>
          <w:rFonts w:ascii="Times New Roman" w:eastAsia="方正仿宋_GBK" w:hAnsi="Times New Roman" w:hint="eastAsia"/>
          <w:sz w:val="32"/>
          <w:szCs w:val="32"/>
        </w:rPr>
        <w:t>万元，其中：政府采购货物预算18.</w:t>
      </w:r>
      <w:r>
        <w:rPr>
          <w:rFonts w:ascii="Times New Roman" w:eastAsia="方正仿宋_GBK" w:hAnsi="Times New Roman"/>
          <w:sz w:val="32"/>
          <w:szCs w:val="32"/>
        </w:rPr>
        <w:t>00</w:t>
      </w:r>
      <w:r>
        <w:rPr>
          <w:rFonts w:ascii="Times New Roman" w:eastAsia="方正仿宋_GBK" w:hAnsi="Times New Roman" w:hint="eastAsia"/>
          <w:sz w:val="32"/>
          <w:szCs w:val="32"/>
        </w:rPr>
        <w:t>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截至2025年</w:t>
      </w:r>
      <w:r>
        <w:rPr>
          <w:rFonts w:ascii="Times New Roman" w:eastAsia="方正仿宋_GBK" w:hAnsi="Times New Roman" w:hint="eastAsia"/>
          <w:color w:val="000000"/>
          <w:sz w:val="32"/>
          <w:szCs w:val="32"/>
        </w:rPr>
        <w:t>12</w:t>
      </w:r>
      <w:r>
        <w:rPr>
          <w:rFonts w:ascii="Times New Roman" w:eastAsia="方正仿宋_GBK" w:hAnsi="Times New Roman"/>
          <w:color w:val="000000"/>
          <w:sz w:val="32"/>
          <w:szCs w:val="32"/>
        </w:rPr>
        <w:t>月31日，</w:t>
      </w:r>
      <w:r>
        <w:rPr>
          <w:rFonts w:ascii="Times New Roman" w:eastAsia="方正仿宋_GBK" w:hAnsi="Times New Roman" w:hint="eastAsia"/>
          <w:color w:val="000000"/>
          <w:sz w:val="32"/>
          <w:szCs w:val="32"/>
        </w:rPr>
        <w:t>滨州</w:t>
      </w:r>
      <w:r>
        <w:rPr>
          <w:rFonts w:ascii="Times New Roman" w:eastAsia="方正仿宋_GBK" w:hAnsi="Times New Roman"/>
          <w:color w:val="000000"/>
          <w:sz w:val="32"/>
          <w:szCs w:val="32"/>
        </w:rPr>
        <w:t>海关共有车辆</w:t>
      </w:r>
      <w:r>
        <w:rPr>
          <w:rFonts w:ascii="Times New Roman" w:eastAsia="方正仿宋_GBK" w:hAnsi="Times New Roman" w:hint="eastAsia"/>
          <w:color w:val="000000"/>
          <w:sz w:val="32"/>
          <w:szCs w:val="32"/>
        </w:rPr>
        <w:t>7</w:t>
      </w:r>
      <w:r>
        <w:rPr>
          <w:rFonts w:ascii="Times New Roman" w:eastAsia="方正仿宋_GBK" w:hAnsi="Times New Roman"/>
          <w:color w:val="000000"/>
          <w:sz w:val="32"/>
          <w:szCs w:val="32"/>
        </w:rPr>
        <w:t>辆，其中，</w:t>
      </w:r>
      <w:r>
        <w:rPr>
          <w:rFonts w:ascii="Times New Roman" w:eastAsia="方正仿宋_GBK" w:hAnsi="Times New Roman" w:hint="eastAsia"/>
          <w:color w:val="000000"/>
          <w:sz w:val="32"/>
          <w:szCs w:val="32"/>
        </w:rPr>
        <w:t>应急保障用车1辆、</w:t>
      </w:r>
      <w:r>
        <w:rPr>
          <w:rFonts w:ascii="Times New Roman" w:eastAsia="方正仿宋_GBK" w:hAnsi="Times New Roman"/>
          <w:color w:val="000000"/>
          <w:sz w:val="32"/>
          <w:szCs w:val="32"/>
        </w:rPr>
        <w:t>机要通信用车</w:t>
      </w:r>
      <w:r>
        <w:rPr>
          <w:rFonts w:ascii="Times New Roman" w:eastAsia="方正仿宋_GBK" w:hAnsi="Times New Roman" w:hint="eastAsia"/>
          <w:color w:val="000000"/>
          <w:sz w:val="32"/>
          <w:szCs w:val="32"/>
        </w:rPr>
        <w:t>1</w:t>
      </w:r>
      <w:r>
        <w:rPr>
          <w:rFonts w:ascii="Times New Roman" w:eastAsia="方正仿宋_GBK" w:hAnsi="Times New Roman"/>
          <w:color w:val="000000"/>
          <w:sz w:val="32"/>
          <w:szCs w:val="32"/>
        </w:rPr>
        <w:t>辆、执法执勤用车</w:t>
      </w:r>
      <w:r>
        <w:rPr>
          <w:rFonts w:ascii="Times New Roman" w:eastAsia="方正仿宋_GBK" w:hAnsi="Times New Roman" w:hint="eastAsia"/>
          <w:color w:val="000000"/>
          <w:sz w:val="32"/>
          <w:szCs w:val="32"/>
        </w:rPr>
        <w:t>5</w:t>
      </w:r>
      <w:r>
        <w:rPr>
          <w:rFonts w:ascii="Times New Roman" w:eastAsia="方正仿宋_GBK" w:hAnsi="Times New Roman"/>
          <w:color w:val="000000"/>
          <w:sz w:val="32"/>
          <w:szCs w:val="32"/>
        </w:rPr>
        <w:t>辆。单位价值100万元以上的设备4台（套）。</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年部门预算安排购置车辆1辆，为</w:t>
      </w:r>
      <w:r>
        <w:rPr>
          <w:rFonts w:ascii="Times New Roman" w:eastAsia="方正仿宋_GBK" w:hAnsi="Times New Roman"/>
          <w:color w:val="000000"/>
          <w:sz w:val="32"/>
          <w:szCs w:val="32"/>
        </w:rPr>
        <w:t>应急保障用车</w:t>
      </w:r>
      <w:r>
        <w:rPr>
          <w:rFonts w:ascii="Times New Roman" w:eastAsia="方正仿宋_GBK" w:hAnsi="Times New Roman" w:hint="eastAsia"/>
          <w:sz w:val="32"/>
          <w:szCs w:val="32"/>
        </w:rPr>
        <w:t>。</w:t>
      </w:r>
    </w:p>
    <w:p>
      <w:pPr>
        <w:spacing w:line="52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pStyle w:val="34"/>
        <w:spacing w:line="520" w:lineRule="exact"/>
        <w:ind w:firstLineChars="200" w:firstLine="640"/>
      </w:pPr>
      <w:r>
        <w:rPr>
          <w:rFonts w:hint="eastAsia"/>
        </w:rPr>
        <w:t>202</w:t>
      </w:r>
      <w:r>
        <w:t>6</w:t>
      </w:r>
      <w:r>
        <w:rPr>
          <w:rFonts w:hint="eastAsia"/>
        </w:rPr>
        <w:t>年对滨州海关一般公共预算拨款项目全面实施绩效目标管理，涉及一般公共预算当年拨款</w:t>
      </w:r>
      <w:r>
        <w:t>66.48</w:t>
      </w:r>
      <w:r>
        <w:rPr>
          <w:rFonts w:hint="eastAsia"/>
        </w:rPr>
        <w:t>万元，一级项目5个，二级项目9个。</w:t>
      </w:r>
    </w:p>
    <w:p>
      <w:pPr>
        <w:pStyle w:val="34"/>
        <w:spacing w:line="520" w:lineRule="exact"/>
        <w:ind w:firstLineChars="200" w:firstLine="640"/>
      </w:pPr>
      <w:r>
        <w:rPr>
          <w:rFonts w:hint="eastAsia"/>
        </w:rPr>
        <w:t>滨州</w:t>
      </w:r>
      <w:r>
        <w:t>海关一般公共预算二级项目绩效目标表</w:t>
      </w:r>
      <w:r>
        <w:rPr>
          <w:rFonts w:hint="eastAsia"/>
        </w:rPr>
        <w:t>见“第五部分 附件”</w:t>
      </w:r>
      <w:r>
        <w:t>。</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sectPr>
          <w:pgSz w:w="11906" w:h="16838"/>
          <w:pgMar w:top="1440" w:right="1800" w:bottom="1440" w:left="1800" w:header="851" w:footer="992" w:gutter="0"/>
          <w:titlePg/>
          <w:docGrid w:type="lines" w:linePitch="312" w:charSpace="0"/>
        </w:sect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Times New Roman" w:eastAsia="方正仿宋_GBK" w:hAnsi="Times New Roman"/>
          <w:sz w:val="32"/>
          <w:szCs w:val="32"/>
        </w:rPr>
        <w:t>。</w:t>
      </w: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rPr>
          <w:rFonts w:ascii="Times New Roman" w:hAnsi="Times New Roman"/>
          <w:b/>
          <w:sz w:val="84"/>
          <w:szCs w:val="84"/>
        </w:rPr>
      </w:pPr>
      <w:r>
        <w:rPr>
          <w:rFonts w:ascii="Times New Roman" w:hAnsi="Times New Roman" w:hint="eastAsia"/>
          <w:b/>
          <w:sz w:val="84"/>
          <w:szCs w:val="84"/>
        </w:rPr>
        <w:br w:type="page"/>
      </w:r>
    </w:p>
    <w:tbl>
      <w:tblPr>
        <w:jc w:val="left"/>
        <w:tblInd w:w="-161" w:type="dxa"/>
        <w:tblW w:w="96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25"/>
        <w:gridCol w:w="1365"/>
        <w:gridCol w:w="1785"/>
        <w:gridCol w:w="1365"/>
        <w:gridCol w:w="2100"/>
        <w:gridCol w:w="1260"/>
        <w:gridCol w:w="1260"/>
      </w:tblGrid>
      <w:tr>
        <w:trPr>
          <w:trHeight w:val="704"/>
        </w:trPr>
        <w:tc>
          <w:tcPr>
            <w:tcW w:w="966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66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8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77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AEO项目</w:t>
            </w:r>
          </w:p>
        </w:tc>
      </w:tr>
      <w:tr>
        <w:trPr>
          <w:trHeight w:val="434"/>
        </w:trPr>
        <w:tc>
          <w:tcPr>
            <w:tcW w:w="18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5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5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89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36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0.50 </w:t>
            </w:r>
          </w:p>
        </w:tc>
        <w:tc>
          <w:tcPr>
            <w:tcW w:w="126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890" w:type="dxa"/>
            <w:gridSpan w:val="2"/>
            <w:vMerge/>
            <w:tcBorders>
              <w:top w:val="nil"/>
              <w:left w:val="single" w:sz="6" w:space="0" w:color="auto"/>
              <w:bottom w:val="nil"/>
              <w:right w:val="single" w:sz="6" w:space="0" w:color="auto"/>
              <w:tl2br w:val="nil"/>
              <w:tr2bl w:val="nil"/>
            </w:tcBorders>
            <w:noWrap/>
            <w:vAlign w:val="center"/>
          </w:tcPr>
          <w:p/>
        </w:tc>
        <w:tc>
          <w:tcPr>
            <w:tcW w:w="31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36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0.50 </w:t>
            </w:r>
          </w:p>
        </w:tc>
        <w:tc>
          <w:tcPr>
            <w:tcW w:w="1260" w:type="dxa"/>
            <w:vMerge/>
            <w:tcBorders>
              <w:top w:val="nil"/>
              <w:left w:val="single" w:sz="6" w:space="0" w:color="auto"/>
              <w:bottom w:val="nil"/>
              <w:right w:val="single" w:sz="6" w:space="0" w:color="auto"/>
              <w:tl2br w:val="nil"/>
              <w:tr2bl w:val="nil"/>
            </w:tcBorders>
            <w:noWrap/>
            <w:vAlign w:val="center"/>
          </w:tcPr>
          <w:p/>
        </w:tc>
      </w:tr>
      <w:tr>
        <w:trPr>
          <w:trHeight w:val="434"/>
        </w:trPr>
        <w:tc>
          <w:tcPr>
            <w:tcW w:w="1890" w:type="dxa"/>
            <w:gridSpan w:val="2"/>
            <w:vMerge/>
            <w:tcBorders>
              <w:top w:val="nil"/>
              <w:left w:val="single" w:sz="6" w:space="0" w:color="auto"/>
              <w:bottom w:val="nil"/>
              <w:right w:val="single" w:sz="6" w:space="0" w:color="auto"/>
              <w:tl2br w:val="nil"/>
              <w:tr2bl w:val="nil"/>
            </w:tcBorders>
            <w:noWrap/>
            <w:vAlign w:val="center"/>
          </w:tcPr>
          <w:p/>
        </w:tc>
        <w:tc>
          <w:tcPr>
            <w:tcW w:w="31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36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60" w:type="dxa"/>
            <w:vMerge/>
            <w:tcBorders>
              <w:top w:val="nil"/>
              <w:left w:val="single" w:sz="6" w:space="0" w:color="auto"/>
              <w:bottom w:val="nil"/>
              <w:right w:val="single" w:sz="6" w:space="0" w:color="auto"/>
              <w:tl2br w:val="nil"/>
              <w:tr2bl w:val="nil"/>
            </w:tcBorders>
            <w:noWrap/>
            <w:vAlign w:val="center"/>
          </w:tcPr>
          <w:p/>
        </w:tc>
      </w:tr>
      <w:tr>
        <w:trPr>
          <w:trHeight w:val="434"/>
        </w:trPr>
        <w:tc>
          <w:tcPr>
            <w:tcW w:w="189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36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6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525"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13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目标1：通过对2家高级认证企业实施复核，对2家申请高级认证的企业实施认证，提高辖区AEO企业数量。</w:t>
            </w:r>
          </w:p>
          <w:p>
            <w:pPr>
              <w:rPr>
                <w:rFonts w:ascii="宋体" w:eastAsia="宋体" w:cs="宋体"/>
                <w:sz w:val="22"/>
              </w:rPr>
            </w:pPr>
            <w:r>
              <w:rPr>
                <w:rFonts w:ascii="宋体" w:eastAsia="宋体" w:cs="宋体"/>
                <w:sz w:val="22"/>
              </w:rPr>
              <w:t>目标2：通过提高认证时效，帮助企业尽早享受海关政策。</w:t>
            </w:r>
          </w:p>
          <w:p>
            <w:pPr>
              <w:rPr>
                <w:rFonts w:ascii="宋体" w:eastAsia="宋体" w:cs="宋体"/>
                <w:sz w:val="22"/>
              </w:rPr>
            </w:pPr>
            <w:r>
              <w:rPr>
                <w:rFonts w:ascii="宋体" w:eastAsia="宋体" w:cs="宋体"/>
                <w:sz w:val="22"/>
              </w:rPr>
              <w:t>目标3：通过组织开展海关企业信用管理制度集中宣传，提升进出口企业对AEO制度的认知度。</w:t>
            </w:r>
          </w:p>
        </w:tc>
      </w:tr>
      <w:tr>
        <w:trPr>
          <w:trHeight w:val="599"/>
        </w:trPr>
        <w:tc>
          <w:tcPr>
            <w:tcW w:w="525"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6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7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525" w:type="dxa"/>
            <w:vMerge/>
            <w:tcBorders>
              <w:top w:val="nil"/>
              <w:left w:val="single" w:sz="6" w:space="0" w:color="auto"/>
              <w:bottom w:val="single" w:sz="6" w:space="0" w:color="auto"/>
              <w:right w:val="single" w:sz="6" w:space="0" w:color="auto"/>
              <w:tl2br w:val="nil"/>
              <w:tr2bl w:val="nil"/>
            </w:tcBorders>
            <w:noWrap/>
            <w:vAlign w:val="center"/>
          </w:tcPr>
          <w:p/>
        </w:tc>
        <w:tc>
          <w:tcPr>
            <w:tcW w:w="1365"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78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实施企业认证（AEO）</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≥4.00家</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525" w:type="dxa"/>
            <w:vMerge/>
            <w:tcBorders>
              <w:top w:val="nil"/>
              <w:left w:val="single" w:sz="6" w:space="0" w:color="auto"/>
              <w:bottom w:val="single" w:sz="6" w:space="0" w:color="auto"/>
              <w:right w:val="single" w:sz="6" w:space="0" w:color="auto"/>
              <w:tl2br w:val="nil"/>
              <w:tr2bl w:val="nil"/>
            </w:tcBorders>
            <w:noWrap/>
            <w:vAlign w:val="center"/>
          </w:tcPr>
          <w:p/>
        </w:tc>
        <w:tc>
          <w:tcPr>
            <w:tcW w:w="1365" w:type="dxa"/>
            <w:vMerge/>
            <w:tcBorders>
              <w:top w:val="single" w:sz="6" w:space="0" w:color="auto"/>
              <w:left w:val="nil"/>
              <w:bottom w:val="single" w:sz="6" w:space="0" w:color="auto"/>
              <w:right w:val="single" w:sz="6" w:space="0" w:color="auto"/>
              <w:tl2br w:val="nil"/>
              <w:tr2bl w:val="nil"/>
            </w:tcBorders>
            <w:noWrap/>
            <w:vAlign w:val="center"/>
          </w:tcPr>
          <w:p/>
        </w:tc>
        <w:tc>
          <w:tcPr>
            <w:tcW w:w="178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组织海关企业信用管理制度集中宣传</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525" w:type="dxa"/>
            <w:vMerge/>
            <w:tcBorders>
              <w:top w:val="nil"/>
              <w:left w:val="single" w:sz="6" w:space="0" w:color="auto"/>
              <w:bottom w:val="single" w:sz="6" w:space="0" w:color="auto"/>
              <w:right w:val="single" w:sz="6" w:space="0" w:color="auto"/>
              <w:tl2br w:val="nil"/>
              <w:tr2bl w:val="nil"/>
            </w:tcBorders>
            <w:noWrap/>
            <w:vAlign w:val="center"/>
          </w:tcPr>
          <w:p/>
        </w:tc>
        <w:tc>
          <w:tcPr>
            <w:tcW w:w="1365" w:type="dxa"/>
            <w:vMerge/>
            <w:tcBorders>
              <w:top w:val="single" w:sz="6" w:space="0" w:color="auto"/>
              <w:left w:val="nil"/>
              <w:bottom w:val="single" w:sz="6" w:space="0" w:color="auto"/>
              <w:right w:val="single" w:sz="6" w:space="0" w:color="auto"/>
              <w:tl2br w:val="nil"/>
              <w:tr2bl w:val="nil"/>
            </w:tcBorders>
            <w:noWrap/>
            <w:vAlign w:val="center"/>
          </w:tcPr>
          <w:p/>
        </w:tc>
        <w:tc>
          <w:tcPr>
            <w:tcW w:w="178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AEO制度面向国内企业宣传覆盖率</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525" w:type="dxa"/>
            <w:vMerge/>
            <w:tcBorders>
              <w:top w:val="nil"/>
              <w:left w:val="single" w:sz="6" w:space="0" w:color="auto"/>
              <w:bottom w:val="single" w:sz="6" w:space="0" w:color="auto"/>
              <w:right w:val="single" w:sz="6" w:space="0" w:color="auto"/>
              <w:tl2br w:val="nil"/>
              <w:tr2bl w:val="nil"/>
            </w:tcBorders>
            <w:noWrap/>
            <w:vAlign w:val="center"/>
          </w:tcPr>
          <w:p/>
        </w:tc>
        <w:tc>
          <w:tcPr>
            <w:tcW w:w="1365" w:type="dxa"/>
            <w:vMerge/>
            <w:tcBorders>
              <w:top w:val="single" w:sz="6" w:space="0" w:color="auto"/>
              <w:left w:val="nil"/>
              <w:bottom w:val="single" w:sz="6" w:space="0" w:color="auto"/>
              <w:right w:val="single" w:sz="6" w:space="0" w:color="auto"/>
              <w:tl2br w:val="nil"/>
              <w:tr2bl w:val="nil"/>
            </w:tcBorders>
            <w:noWrap/>
            <w:vAlign w:val="center"/>
          </w:tcPr>
          <w:p/>
        </w:tc>
        <w:tc>
          <w:tcPr>
            <w:tcW w:w="178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AEO认证企业增长率</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525" w:type="dxa"/>
            <w:vMerge/>
            <w:tcBorders>
              <w:top w:val="nil"/>
              <w:left w:val="single" w:sz="6" w:space="0" w:color="auto"/>
              <w:bottom w:val="single" w:sz="6" w:space="0" w:color="auto"/>
              <w:right w:val="single" w:sz="6" w:space="0" w:color="auto"/>
              <w:tl2br w:val="nil"/>
              <w:tr2bl w:val="nil"/>
            </w:tcBorders>
            <w:noWrap/>
            <w:vAlign w:val="center"/>
          </w:tcPr>
          <w:p/>
        </w:tc>
        <w:tc>
          <w:tcPr>
            <w:tcW w:w="1365" w:type="dxa"/>
            <w:vMerge/>
            <w:tcBorders>
              <w:top w:val="single" w:sz="6" w:space="0" w:color="auto"/>
              <w:left w:val="nil"/>
              <w:bottom w:val="single" w:sz="6" w:space="0" w:color="auto"/>
              <w:right w:val="single" w:sz="6" w:space="0" w:color="auto"/>
              <w:tl2br w:val="nil"/>
              <w:tr2bl w:val="nil"/>
            </w:tcBorders>
            <w:noWrap/>
            <w:vAlign w:val="center"/>
          </w:tcPr>
          <w:p/>
        </w:tc>
        <w:tc>
          <w:tcPr>
            <w:tcW w:w="17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企业认证时效</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≤90天</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525" w:type="dxa"/>
            <w:vMerge/>
            <w:tcBorders>
              <w:top w:val="nil"/>
              <w:left w:val="single" w:sz="6" w:space="0" w:color="auto"/>
              <w:bottom w:val="single" w:sz="6" w:space="0" w:color="auto"/>
              <w:right w:val="single" w:sz="6" w:space="0" w:color="auto"/>
              <w:tl2br w:val="nil"/>
              <w:tr2bl w:val="nil"/>
            </w:tcBorders>
            <w:noWrap/>
            <w:vAlign w:val="center"/>
          </w:tcPr>
          <w:p/>
        </w:tc>
        <w:tc>
          <w:tcPr>
            <w:tcW w:w="136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7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进出口企业对AEO制度认知度</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rPr>
          <w:rFonts w:ascii="Times New Roman" w:hAnsi="Times New Roman"/>
          <w:bCs/>
          <w:sz w:val="32"/>
          <w:szCs w:val="32"/>
        </w:rPr>
      </w:pPr>
    </w:p>
    <w:p>
      <w:pPr>
        <w:rPr>
          <w:rFonts w:ascii="Times New Roman" w:hAnsi="Times New Roman"/>
          <w:bCs/>
          <w:sz w:val="32"/>
          <w:szCs w:val="32"/>
        </w:rPr>
      </w:pPr>
    </w:p>
    <w:p>
      <w:pPr>
        <w:rPr>
          <w:rFonts w:ascii="Times New Roman" w:hAnsi="Times New Roman"/>
          <w:bCs/>
          <w:sz w:val="32"/>
          <w:szCs w:val="32"/>
        </w:rPr>
      </w:pPr>
    </w:p>
    <w:p>
      <w:pPr>
        <w:rPr>
          <w:rFonts w:ascii="Times New Roman" w:hAnsi="Times New Roman"/>
          <w:bCs/>
          <w:sz w:val="32"/>
          <w:szCs w:val="32"/>
        </w:rPr>
      </w:pPr>
    </w:p>
    <w:p>
      <w:pPr>
        <w:rPr>
          <w:rFonts w:ascii="Times New Roman" w:hAnsi="Times New Roman"/>
          <w:bCs/>
          <w:sz w:val="32"/>
          <w:szCs w:val="32"/>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9"/>
        <w:gridCol w:w="1351"/>
        <w:gridCol w:w="1667"/>
        <w:gridCol w:w="1198"/>
        <w:gridCol w:w="1742"/>
        <w:gridCol w:w="1393"/>
        <w:gridCol w:w="1350"/>
      </w:tblGrid>
      <w:tr>
        <w:trPr>
          <w:trHeight w:val="704"/>
        </w:trPr>
        <w:tc>
          <w:tcPr>
            <w:tcW w:w="933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33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865"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7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6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1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4.50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1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4.50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1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86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13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29"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70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目标1：通过开展稽核查业务和专项行动，提升稽查作业效率。</w:t>
            </w:r>
          </w:p>
          <w:p>
            <w:pPr>
              <w:rPr>
                <w:rFonts w:ascii="宋体" w:eastAsia="宋体" w:cs="宋体"/>
                <w:sz w:val="22"/>
              </w:rPr>
            </w:pPr>
            <w:r>
              <w:rPr>
                <w:rFonts w:ascii="宋体" w:eastAsia="宋体" w:cs="宋体"/>
                <w:sz w:val="22"/>
              </w:rPr>
              <w:t>目标2：通过办理行政案件，维持打击走私高压态势，提升综合治理效能。</w:t>
            </w:r>
          </w:p>
        </w:tc>
      </w:tr>
      <w:tr>
        <w:trPr>
          <w:trHeight w:val="599"/>
        </w:trPr>
        <w:tc>
          <w:tcPr>
            <w:tcW w:w="629"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6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3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6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稽核查作业数</w:t>
            </w:r>
          </w:p>
        </w:tc>
        <w:tc>
          <w:tcPr>
            <w:tcW w:w="13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≥80起</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66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稽查作业有效率</w:t>
            </w:r>
          </w:p>
        </w:tc>
        <w:tc>
          <w:tcPr>
            <w:tcW w:w="13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≥70%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66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行政案件平均办案时间</w:t>
            </w:r>
          </w:p>
        </w:tc>
        <w:tc>
          <w:tcPr>
            <w:tcW w:w="13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≤6月</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66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守法政策宣传覆盖企业数量</w:t>
            </w:r>
          </w:p>
        </w:tc>
        <w:tc>
          <w:tcPr>
            <w:tcW w:w="13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≥2家</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85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66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执法对象满意度</w:t>
            </w:r>
          </w:p>
        </w:tc>
        <w:tc>
          <w:tcPr>
            <w:tcW w:w="130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rPr>
          <w:rFonts w:ascii="Times New Roman" w:hAnsi="Times New Roman"/>
          <w:bCs/>
          <w:sz w:val="32"/>
          <w:szCs w:val="32"/>
        </w:rPr>
      </w:pPr>
    </w:p>
    <w:p>
      <w:pPr>
        <w:rPr>
          <w:rFonts w:ascii="Times New Roman" w:hAnsi="Times New Roman"/>
          <w:bCs/>
          <w:sz w:val="32"/>
          <w:szCs w:val="32"/>
        </w:rPr>
      </w:pPr>
      <w:r>
        <w:rPr>
          <w:rFonts w:ascii="Times New Roman" w:hAnsi="Times New Roman"/>
          <w:bCs/>
          <w:sz w:val="32"/>
          <w:szCs w:val="32"/>
        </w:rPr>
        <w:br w:type="page"/>
      </w: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78"/>
        <w:gridCol w:w="1485"/>
        <w:gridCol w:w="179"/>
        <w:gridCol w:w="1137"/>
        <w:gridCol w:w="994"/>
        <w:gridCol w:w="479"/>
        <w:gridCol w:w="631"/>
        <w:gridCol w:w="1008"/>
        <w:gridCol w:w="631"/>
        <w:gridCol w:w="39"/>
        <w:gridCol w:w="616"/>
        <w:gridCol w:w="1086"/>
        <w:gridCol w:w="264"/>
      </w:tblGrid>
      <w:tr>
        <w:trPr>
          <w:trHeight w:val="704"/>
        </w:trPr>
        <w:tc>
          <w:tcPr>
            <w:tcW w:w="9026" w:type="dxa"/>
            <w:gridSpan w:val="13"/>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026" w:type="dxa"/>
            <w:gridSpan w:val="13"/>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9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063" w:type="dxa"/>
            <w:gridSpan w:val="11"/>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4"/>
        </w:trPr>
        <w:tc>
          <w:tcPr>
            <w:tcW w:w="19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5"/>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63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004"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9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294"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39.48 </w:t>
            </w:r>
          </w:p>
        </w:tc>
        <w:tc>
          <w:tcPr>
            <w:tcW w:w="1350" w:type="dxa"/>
            <w:gridSpan w:val="2"/>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63"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294"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39.48 </w:t>
            </w:r>
          </w:p>
        </w:tc>
        <w:tc>
          <w:tcPr>
            <w:tcW w:w="1350" w:type="dxa"/>
            <w:gridSpan w:val="2"/>
            <w:vMerge/>
            <w:tcBorders>
              <w:top w:val="nil"/>
              <w:left w:val="single" w:sz="6" w:space="0" w:color="auto"/>
              <w:bottom w:val="nil"/>
              <w:right w:val="single" w:sz="6" w:space="0" w:color="auto"/>
              <w:tl2br w:val="nil"/>
              <w:tr2bl w:val="nil"/>
            </w:tcBorders>
            <w:noWrap/>
            <w:vAlign w:val="center"/>
          </w:tcPr>
          <w:p/>
        </w:tc>
      </w:tr>
      <w:tr>
        <w:trPr>
          <w:trHeight w:val="434"/>
        </w:trPr>
        <w:tc>
          <w:tcPr>
            <w:tcW w:w="1963"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294"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gridSpan w:val="2"/>
            <w:vMerge/>
            <w:tcBorders>
              <w:top w:val="nil"/>
              <w:left w:val="single" w:sz="6" w:space="0" w:color="auto"/>
              <w:bottom w:val="nil"/>
              <w:right w:val="single" w:sz="6" w:space="0" w:color="auto"/>
              <w:tl2br w:val="nil"/>
              <w:tr2bl w:val="nil"/>
            </w:tcBorders>
            <w:noWrap/>
            <w:vAlign w:val="center"/>
          </w:tcPr>
          <w:p/>
        </w:tc>
      </w:tr>
      <w:tr>
        <w:trPr>
          <w:trHeight w:val="434"/>
        </w:trPr>
        <w:tc>
          <w:tcPr>
            <w:tcW w:w="19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294"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gridSpan w:val="2"/>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47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48" w:type="dxa"/>
            <w:gridSpan w:val="1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目标1：通过对公务用车进行运行维护，保障海关业务工作正常开展。</w:t>
            </w:r>
          </w:p>
          <w:p>
            <w:pPr>
              <w:rPr>
                <w:rFonts w:ascii="宋体" w:eastAsia="宋体" w:cs="宋体"/>
                <w:sz w:val="22"/>
              </w:rPr>
            </w:pPr>
            <w:r>
              <w:rPr>
                <w:rFonts w:ascii="宋体" w:eastAsia="宋体" w:cs="宋体"/>
                <w:sz w:val="22"/>
              </w:rPr>
              <w:t>目标2：通过雇佣业务现场临时监管人员，弥补一线监管现场人手不足，增强工作开展顺利性。</w:t>
            </w:r>
          </w:p>
          <w:p>
            <w:pPr>
              <w:rPr>
                <w:rFonts w:ascii="宋体" w:eastAsia="宋体" w:cs="宋体"/>
                <w:sz w:val="22"/>
              </w:rPr>
            </w:pPr>
            <w:r>
              <w:rPr>
                <w:rFonts w:ascii="宋体" w:eastAsia="宋体" w:cs="宋体"/>
                <w:sz w:val="22"/>
              </w:rPr>
              <w:t>目标3：通过参加专项工作，确保海关监管职能有效发挥。</w:t>
            </w:r>
          </w:p>
        </w:tc>
      </w:tr>
      <w:tr>
        <w:trPr>
          <w:trHeight w:val="599"/>
        </w:trPr>
        <w:tc>
          <w:tcPr>
            <w:tcW w:w="47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485"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485"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gridSpan w:val="3"/>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保障执法执勤用车</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≥5辆</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485"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gridSpan w:val="3"/>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保障业务现场协助工作人员数量</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≥3人</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936"/>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485"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gridSpan w:val="3"/>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公车维保覆盖率</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297"/>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485"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gridSpan w:val="3"/>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业务现场协助工作人员年度考核通过率</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485"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310" w:type="dxa"/>
            <w:gridSpan w:val="3"/>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公车大型故障停用次数</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≤5次</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485"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gridSpan w:val="3"/>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4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6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704"/>
          <w:gridAfter w:val="1"/>
          <w:wAfter w:w="264" w:type="dxa"/>
        </w:trPr>
        <w:tc>
          <w:tcPr>
            <w:tcW w:w="8763" w:type="dxa"/>
            <w:gridSpan w:val="12"/>
            <w:tcBorders>
              <w:top w:val="nil"/>
              <w:left w:val="nil"/>
              <w:bottom w:val="nil"/>
              <w:right w:val="nil"/>
              <w:tl2br w:val="nil"/>
              <w:tr2bl w:val="nil"/>
            </w:tcBorders>
            <w:noWrap/>
            <w:vAlign w:val="center"/>
          </w:tcPr>
          <w:p>
            <w:pPr>
              <w:jc w:val="center"/>
              <w:rPr>
                <w:rFonts w:ascii="黑体" w:eastAsia="黑体" w:cs="宋体"/>
                <w:sz w:val="32"/>
              </w:rPr>
            </w:pPr>
          </w:p>
          <w:p>
            <w:pPr>
              <w:rPr>
                <w:rFonts w:ascii="黑体" w:eastAsia="黑体" w:cs="宋体"/>
                <w:sz w:val="32"/>
              </w:rPr>
            </w:pPr>
          </w:p>
          <w:p>
            <w:pPr>
              <w:rPr>
                <w:rFonts w:ascii="黑体" w:eastAsia="黑体" w:cs="宋体"/>
                <w:sz w:val="32"/>
              </w:rPr>
            </w:pPr>
          </w:p>
          <w:p>
            <w:pPr>
              <w:rPr>
                <w:rFonts w:ascii="黑体" w:eastAsia="黑体" w:cs="宋体"/>
                <w:sz w:val="32"/>
              </w:rPr>
            </w:pPr>
          </w:p>
          <w:p>
            <w:pPr>
              <w:jc w:val="center"/>
              <w:rPr>
                <w:rFonts w:ascii="黑体" w:eastAsia="黑体" w:cs="宋体"/>
                <w:sz w:val="32"/>
              </w:rPr>
            </w:pPr>
            <w:r>
              <w:rPr>
                <w:rFonts w:ascii="黑体" w:eastAsia="黑体" w:cs="宋体"/>
                <w:sz w:val="32"/>
              </w:rPr>
              <w:t>项目绩效目标表</w:t>
            </w:r>
          </w:p>
        </w:tc>
      </w:tr>
      <w:tr>
        <w:trPr>
          <w:trHeight w:val="494"/>
          <w:gridAfter w:val="1"/>
          <w:wAfter w:w="264" w:type="dxa"/>
        </w:trPr>
        <w:tc>
          <w:tcPr>
            <w:tcW w:w="8763" w:type="dxa"/>
            <w:gridSpan w:val="12"/>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gridAfter w:val="1"/>
          <w:wAfter w:w="264" w:type="dxa"/>
        </w:trPr>
        <w:tc>
          <w:tcPr>
            <w:tcW w:w="2142"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620" w:type="dxa"/>
            <w:gridSpan w:val="9"/>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434"/>
          <w:gridAfter w:val="1"/>
          <w:wAfter w:w="264" w:type="dxa"/>
        </w:trPr>
        <w:tc>
          <w:tcPr>
            <w:tcW w:w="2142"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610" w:type="dxa"/>
            <w:gridSpan w:val="3"/>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63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371"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gridAfter w:val="1"/>
          <w:wAfter w:w="264" w:type="dxa"/>
        </w:trPr>
        <w:tc>
          <w:tcPr>
            <w:tcW w:w="2142" w:type="dxa"/>
            <w:gridSpan w:val="3"/>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610"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309"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4.00 </w:t>
            </w:r>
          </w:p>
        </w:tc>
        <w:tc>
          <w:tcPr>
            <w:tcW w:w="1702" w:type="dxa"/>
            <w:gridSpan w:val="2"/>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gridAfter w:val="1"/>
          <w:wAfter w:w="264" w:type="dxa"/>
        </w:trPr>
        <w:tc>
          <w:tcPr>
            <w:tcW w:w="2143" w:type="dxa"/>
            <w:gridSpan w:val="3"/>
            <w:vMerge/>
            <w:tcBorders>
              <w:top w:val="nil"/>
              <w:left w:val="single" w:sz="6" w:space="0" w:color="auto"/>
              <w:bottom w:val="nil"/>
              <w:right w:val="single" w:sz="6" w:space="0" w:color="auto"/>
              <w:tl2br w:val="nil"/>
              <w:tr2bl w:val="nil"/>
            </w:tcBorders>
            <w:noWrap/>
            <w:vAlign w:val="center"/>
          </w:tcPr>
          <w:p/>
        </w:tc>
        <w:tc>
          <w:tcPr>
            <w:tcW w:w="2610"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309"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4.00 </w:t>
            </w:r>
          </w:p>
        </w:tc>
        <w:tc>
          <w:tcPr>
            <w:tcW w:w="1702" w:type="dxa"/>
            <w:gridSpan w:val="2"/>
            <w:vMerge/>
            <w:tcBorders>
              <w:top w:val="nil"/>
              <w:left w:val="single" w:sz="6" w:space="0" w:color="auto"/>
              <w:bottom w:val="nil"/>
              <w:right w:val="single" w:sz="6" w:space="0" w:color="auto"/>
              <w:tl2br w:val="nil"/>
              <w:tr2bl w:val="nil"/>
            </w:tcBorders>
            <w:noWrap/>
            <w:vAlign w:val="center"/>
          </w:tcPr>
          <w:p/>
        </w:tc>
      </w:tr>
      <w:tr>
        <w:trPr>
          <w:trHeight w:val="434"/>
          <w:gridAfter w:val="1"/>
          <w:wAfter w:w="264" w:type="dxa"/>
        </w:trPr>
        <w:tc>
          <w:tcPr>
            <w:tcW w:w="2143" w:type="dxa"/>
            <w:gridSpan w:val="3"/>
            <w:vMerge/>
            <w:tcBorders>
              <w:top w:val="nil"/>
              <w:left w:val="single" w:sz="6" w:space="0" w:color="auto"/>
              <w:bottom w:val="nil"/>
              <w:right w:val="single" w:sz="6" w:space="0" w:color="auto"/>
              <w:tl2br w:val="nil"/>
              <w:tr2bl w:val="nil"/>
            </w:tcBorders>
            <w:noWrap/>
            <w:vAlign w:val="center"/>
          </w:tcPr>
          <w:p/>
        </w:tc>
        <w:tc>
          <w:tcPr>
            <w:tcW w:w="2610"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309"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702" w:type="dxa"/>
            <w:gridSpan w:val="2"/>
            <w:vMerge/>
            <w:tcBorders>
              <w:top w:val="nil"/>
              <w:left w:val="single" w:sz="6" w:space="0" w:color="auto"/>
              <w:bottom w:val="nil"/>
              <w:right w:val="single" w:sz="6" w:space="0" w:color="auto"/>
              <w:tl2br w:val="nil"/>
              <w:tr2bl w:val="nil"/>
            </w:tcBorders>
            <w:noWrap/>
            <w:vAlign w:val="center"/>
          </w:tcPr>
          <w:p/>
        </w:tc>
      </w:tr>
      <w:tr>
        <w:trPr>
          <w:trHeight w:val="434"/>
          <w:gridAfter w:val="1"/>
          <w:wAfter w:w="264" w:type="dxa"/>
        </w:trPr>
        <w:tc>
          <w:tcPr>
            <w:tcW w:w="2143" w:type="dxa"/>
            <w:gridSpan w:val="3"/>
            <w:vMerge/>
            <w:tcBorders>
              <w:top w:val="nil"/>
              <w:left w:val="single" w:sz="6" w:space="0" w:color="auto"/>
              <w:bottom w:val="single" w:sz="6" w:space="0" w:color="auto"/>
              <w:right w:val="single" w:sz="6" w:space="0" w:color="auto"/>
              <w:tl2br w:val="nil"/>
              <w:tr2bl w:val="nil"/>
            </w:tcBorders>
            <w:noWrap/>
            <w:vAlign w:val="center"/>
          </w:tcPr>
          <w:p/>
        </w:tc>
        <w:tc>
          <w:tcPr>
            <w:tcW w:w="2610"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309" w:type="dxa"/>
            <w:gridSpan w:val="4"/>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702" w:type="dxa"/>
            <w:gridSpan w:val="2"/>
            <w:vMerge/>
            <w:tcBorders>
              <w:top w:val="nil"/>
              <w:left w:val="single" w:sz="6" w:space="0" w:color="auto"/>
              <w:bottom w:val="single" w:sz="6" w:space="0" w:color="auto"/>
              <w:right w:val="single" w:sz="6" w:space="0" w:color="auto"/>
              <w:tl2br w:val="nil"/>
              <w:tr2bl w:val="nil"/>
            </w:tcBorders>
            <w:noWrap/>
            <w:vAlign w:val="center"/>
          </w:tcPr>
          <w:p/>
        </w:tc>
      </w:tr>
      <w:tr>
        <w:trPr>
          <w:trHeight w:val="1784"/>
          <w:gridAfter w:val="1"/>
          <w:wAfter w:w="264" w:type="dxa"/>
        </w:trPr>
        <w:tc>
          <w:tcPr>
            <w:tcW w:w="47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285" w:type="dxa"/>
            <w:gridSpan w:val="11"/>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通过对设备进行维修维护，保障海关日常工作正常开展。</w:t>
            </w:r>
          </w:p>
        </w:tc>
      </w:tr>
      <w:tr>
        <w:trPr>
          <w:trHeight w:val="599"/>
          <w:gridAfter w:val="1"/>
          <w:wAfter w:w="264" w:type="dxa"/>
        </w:trPr>
        <w:tc>
          <w:tcPr>
            <w:tcW w:w="47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6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1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70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gridAfter w:val="1"/>
          <w:wAfter w:w="264" w:type="dxa"/>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664" w:type="dxa"/>
            <w:gridSpan w:val="2"/>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11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运维设备数量</w:t>
            </w:r>
          </w:p>
        </w:tc>
        <w:tc>
          <w:tcPr>
            <w:tcW w:w="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≥3台</w:t>
            </w:r>
          </w:p>
        </w:tc>
        <w:tc>
          <w:tcPr>
            <w:tcW w:w="170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gridAfter w:val="1"/>
          <w:wAfter w:w="264" w:type="dxa"/>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665" w:type="dxa"/>
            <w:gridSpan w:val="2"/>
            <w:vMerge/>
            <w:tcBorders>
              <w:top w:val="single" w:sz="6" w:space="0" w:color="auto"/>
              <w:left w:val="nil"/>
              <w:bottom w:val="single" w:sz="6" w:space="0" w:color="auto"/>
              <w:right w:val="single" w:sz="6" w:space="0" w:color="auto"/>
              <w:tl2br w:val="nil"/>
              <w:tr2bl w:val="nil"/>
            </w:tcBorders>
            <w:noWrap/>
            <w:vAlign w:val="center"/>
          </w:tcP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11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70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gridAfter w:val="1"/>
          <w:wAfter w:w="264" w:type="dxa"/>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665" w:type="dxa"/>
            <w:gridSpan w:val="2"/>
            <w:vMerge/>
            <w:tcBorders>
              <w:top w:val="single" w:sz="6" w:space="0" w:color="auto"/>
              <w:left w:val="nil"/>
              <w:bottom w:val="single" w:sz="6" w:space="0" w:color="auto"/>
              <w:right w:val="single" w:sz="6" w:space="0" w:color="auto"/>
              <w:tl2br w:val="nil"/>
              <w:tr2bl w:val="nil"/>
            </w:tcBorders>
            <w:noWrap/>
            <w:vAlign w:val="center"/>
          </w:tcP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11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专用设备维修及时率</w:t>
            </w:r>
          </w:p>
        </w:tc>
        <w:tc>
          <w:tcPr>
            <w:tcW w:w="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70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gridAfter w:val="1"/>
          <w:wAfter w:w="264" w:type="dxa"/>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6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1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设备有效利用率</w:t>
            </w:r>
          </w:p>
        </w:tc>
        <w:tc>
          <w:tcPr>
            <w:tcW w:w="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70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749"/>
          <w:gridAfter w:val="1"/>
          <w:wAfter w:w="264" w:type="dxa"/>
        </w:trPr>
        <w:tc>
          <w:tcPr>
            <w:tcW w:w="478" w:type="dxa"/>
            <w:vMerge/>
            <w:tcBorders>
              <w:top w:val="nil"/>
              <w:left w:val="single" w:sz="6" w:space="0" w:color="auto"/>
              <w:bottom w:val="single" w:sz="6" w:space="0" w:color="auto"/>
              <w:right w:val="single" w:sz="6" w:space="0" w:color="auto"/>
              <w:tl2br w:val="nil"/>
              <w:tr2bl w:val="nil"/>
            </w:tcBorders>
            <w:noWrap/>
            <w:vAlign w:val="center"/>
          </w:tcPr>
          <w:p/>
        </w:tc>
        <w:tc>
          <w:tcPr>
            <w:tcW w:w="16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11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使用人员满意度</w:t>
            </w:r>
          </w:p>
        </w:tc>
        <w:tc>
          <w:tcPr>
            <w:tcW w:w="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70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widowControl/>
        <w:jc w:val="center"/>
        <w:textAlignment w:val="center"/>
        <w:rPr>
          <w:rFonts w:ascii="宋体" w:cs="宋体"/>
          <w:b/>
          <w:bCs/>
          <w:color w:val="000000"/>
          <w:kern w:val="0"/>
          <w:sz w:val="48"/>
          <w:szCs w:val="48"/>
        </w:rPr>
      </w:pPr>
    </w:p>
    <w:tbl>
      <w:tblPr>
        <w:jc w:val="left"/>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242"/>
      </w:tblGrid>
      <w:tr>
        <w:trPr>
          <w:trHeight w:val="624"/>
        </w:trPr>
        <w:tc>
          <w:tcPr>
            <w:tcW w:w="5000" w:type="pct"/>
            <w:vMerge w:val="restart"/>
            <w:tcBorders>
              <w:top w:val="nil"/>
              <w:left w:val="nil"/>
              <w:bottom w:val="nil"/>
              <w:right w:val="nil"/>
            </w:tcBorders>
            <w:shd w:val="clear" w:color="auto" w:fill="auto"/>
            <w:noWrap/>
            <w:vAlign w:val="center"/>
          </w:tcPr>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textAlignment w:val="center"/>
              <w:rPr>
                <w:rFonts w:ascii="宋体" w:cs="宋体"/>
                <w:b/>
                <w:bCs/>
                <w:color w:val="000000"/>
                <w:kern w:val="0"/>
                <w:sz w:val="48"/>
                <w:szCs w:val="48"/>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8"/>
              <w:gridCol w:w="1352"/>
              <w:gridCol w:w="1678"/>
              <w:gridCol w:w="1112"/>
              <w:gridCol w:w="1513"/>
              <w:gridCol w:w="1352"/>
              <w:gridCol w:w="1350"/>
            </w:tblGrid>
            <w:tr>
              <w:trPr>
                <w:trHeight w:val="704"/>
              </w:trPr>
              <w:tc>
                <w:tcPr>
                  <w:tcW w:w="898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98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00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企业管理及稽查专项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79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5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7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7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86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7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86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7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86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7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86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2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3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目标1：通过开展企业管理和AEO认证等相关政策宣讲，提升企业注册备案数量。</w:t>
                  </w:r>
                </w:p>
                <w:p>
                  <w:pPr>
                    <w:rPr>
                      <w:rFonts w:ascii="宋体" w:eastAsia="宋体" w:cs="宋体"/>
                      <w:sz w:val="22"/>
                    </w:rPr>
                  </w:pPr>
                  <w:r>
                    <w:rPr>
                      <w:rFonts w:ascii="宋体" w:eastAsia="宋体" w:cs="宋体"/>
                      <w:sz w:val="22"/>
                    </w:rPr>
                    <w:t>目标2：通过开展企业管理和稽查相关外勤执法工作，提升海关履职能力。</w:t>
                  </w:r>
                </w:p>
              </w:tc>
            </w:tr>
            <w:tr>
              <w:trPr>
                <w:trHeight w:val="599"/>
              </w:trPr>
              <w:tc>
                <w:tcPr>
                  <w:tcW w:w="62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2"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7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352"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7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稽核查作业数</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≥80起</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352" w:type="dxa"/>
                  <w:vMerge/>
                  <w:tcBorders>
                    <w:top w:val="single" w:sz="6" w:space="0" w:color="auto"/>
                    <w:left w:val="nil"/>
                    <w:bottom w:val="single" w:sz="6" w:space="0" w:color="auto"/>
                    <w:right w:val="single" w:sz="6" w:space="0" w:color="auto"/>
                    <w:tl2br w:val="nil"/>
                    <w:tr2bl w:val="nil"/>
                  </w:tcBorders>
                  <w:noWrap/>
                  <w:vAlign w:val="center"/>
                </w:tcPr>
                <w:p/>
              </w:tc>
              <w:tc>
                <w:tcPr>
                  <w:tcW w:w="167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实施企业认证（AEO）</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≥2家</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352" w:type="dxa"/>
                  <w:vMerge/>
                  <w:tcBorders>
                    <w:top w:val="single" w:sz="6" w:space="0" w:color="auto"/>
                    <w:left w:val="nil"/>
                    <w:bottom w:val="single" w:sz="6" w:space="0" w:color="auto"/>
                    <w:right w:val="single" w:sz="6" w:space="0" w:color="auto"/>
                    <w:tl2br w:val="nil"/>
                    <w:tr2bl w:val="nil"/>
                  </w:tcBorders>
                  <w:noWrap/>
                  <w:vAlign w:val="center"/>
                </w:tcPr>
                <w:p/>
              </w:tc>
              <w:tc>
                <w:tcPr>
                  <w:tcW w:w="167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稽核查作业有效率</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≥70%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352" w:type="dxa"/>
                  <w:vMerge/>
                  <w:tcBorders>
                    <w:top w:val="single" w:sz="6" w:space="0" w:color="auto"/>
                    <w:left w:val="nil"/>
                    <w:bottom w:val="single" w:sz="6" w:space="0" w:color="auto"/>
                    <w:right w:val="single" w:sz="6" w:space="0" w:color="auto"/>
                    <w:tl2br w:val="nil"/>
                    <w:tr2bl w:val="nil"/>
                  </w:tcBorders>
                  <w:noWrap/>
                  <w:vAlign w:val="center"/>
                </w:tcPr>
                <w:p/>
              </w:tc>
              <w:tc>
                <w:tcPr>
                  <w:tcW w:w="167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AEO认证企业增长率</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352"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67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对企业开展政策集中宣讲</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≥2场</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7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352"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67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6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宣传活动企业满意度</w:t>
                  </w:r>
                </w:p>
              </w:tc>
              <w:tc>
                <w:tcPr>
                  <w:tcW w:w="135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textAlignment w:val="center"/>
              <w:rPr>
                <w:rFonts w:ascii="宋体" w:cs="宋体"/>
                <w:b/>
                <w:bCs/>
                <w:color w:val="000000"/>
                <w:kern w:val="0"/>
                <w:sz w:val="48"/>
                <w:szCs w:val="48"/>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9"/>
              <w:gridCol w:w="1246"/>
              <w:gridCol w:w="1409"/>
              <w:gridCol w:w="1111"/>
              <w:gridCol w:w="2310"/>
              <w:gridCol w:w="900"/>
              <w:gridCol w:w="1155"/>
            </w:tblGrid>
            <w:tr>
              <w:trPr>
                <w:trHeight w:val="704"/>
              </w:trPr>
              <w:tc>
                <w:tcPr>
                  <w:tcW w:w="876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76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8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88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719"/>
              </w:trPr>
              <w:tc>
                <w:tcPr>
                  <w:tcW w:w="18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5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05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87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5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2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155"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875" w:type="dxa"/>
                  <w:gridSpan w:val="2"/>
                  <w:vMerge/>
                  <w:tcBorders>
                    <w:top w:val="nil"/>
                    <w:left w:val="single" w:sz="6" w:space="0" w:color="auto"/>
                    <w:bottom w:val="nil"/>
                    <w:right w:val="single" w:sz="6" w:space="0" w:color="auto"/>
                    <w:tl2br w:val="nil"/>
                    <w:tr2bl w:val="nil"/>
                  </w:tcBorders>
                  <w:noWrap/>
                  <w:vAlign w:val="center"/>
                </w:tcPr>
                <w:p/>
              </w:tc>
              <w:tc>
                <w:tcPr>
                  <w:tcW w:w="25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2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155" w:type="dxa"/>
                  <w:vMerge/>
                  <w:tcBorders>
                    <w:top w:val="nil"/>
                    <w:left w:val="single" w:sz="6" w:space="0" w:color="auto"/>
                    <w:bottom w:val="nil"/>
                    <w:right w:val="single" w:sz="6" w:space="0" w:color="auto"/>
                    <w:tl2br w:val="nil"/>
                    <w:tr2bl w:val="nil"/>
                  </w:tcBorders>
                  <w:noWrap/>
                  <w:vAlign w:val="center"/>
                </w:tcPr>
                <w:p/>
              </w:tc>
            </w:tr>
            <w:tr>
              <w:trPr>
                <w:trHeight w:val="434"/>
              </w:trPr>
              <w:tc>
                <w:tcPr>
                  <w:tcW w:w="1875" w:type="dxa"/>
                  <w:gridSpan w:val="2"/>
                  <w:vMerge/>
                  <w:tcBorders>
                    <w:top w:val="nil"/>
                    <w:left w:val="single" w:sz="6" w:space="0" w:color="auto"/>
                    <w:bottom w:val="nil"/>
                    <w:right w:val="single" w:sz="6" w:space="0" w:color="auto"/>
                    <w:tl2br w:val="nil"/>
                    <w:tr2bl w:val="nil"/>
                  </w:tcBorders>
                  <w:noWrap/>
                  <w:vAlign w:val="center"/>
                </w:tcPr>
                <w:p/>
              </w:tc>
              <w:tc>
                <w:tcPr>
                  <w:tcW w:w="25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2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55" w:type="dxa"/>
                  <w:vMerge/>
                  <w:tcBorders>
                    <w:top w:val="nil"/>
                    <w:left w:val="single" w:sz="6" w:space="0" w:color="auto"/>
                    <w:bottom w:val="nil"/>
                    <w:right w:val="single" w:sz="6" w:space="0" w:color="auto"/>
                    <w:tl2br w:val="nil"/>
                    <w:tr2bl w:val="nil"/>
                  </w:tcBorders>
                  <w:noWrap/>
                  <w:vAlign w:val="center"/>
                </w:tcPr>
                <w:p/>
              </w:tc>
            </w:tr>
            <w:tr>
              <w:trPr>
                <w:trHeight w:val="434"/>
              </w:trPr>
              <w:tc>
                <w:tcPr>
                  <w:tcW w:w="187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5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21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55"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29"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13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目标1.通过开展口岸公共卫生安全风险监测评估，提高风险防控能力。</w:t>
                  </w:r>
                </w:p>
                <w:p>
                  <w:pPr>
                    <w:rPr>
                      <w:rFonts w:ascii="宋体" w:eastAsia="宋体" w:cs="宋体"/>
                      <w:sz w:val="22"/>
                    </w:rPr>
                  </w:pPr>
                  <w:r>
                    <w:rPr>
                      <w:rFonts w:ascii="宋体" w:eastAsia="宋体" w:cs="宋体"/>
                      <w:sz w:val="22"/>
                    </w:rPr>
                    <w:t>目标2.通过开展口岸安全、生物安全、食品安全、传染病健康教育等相关宣传活动，提升人民群众口岸公共卫生安全意识。</w:t>
                  </w:r>
                </w:p>
                <w:p>
                  <w:pPr>
                    <w:rPr>
                      <w:rFonts w:ascii="宋体" w:eastAsia="宋体" w:cs="宋体"/>
                      <w:sz w:val="22"/>
                    </w:rPr>
                  </w:pPr>
                  <w:r>
                    <w:rPr>
                      <w:rFonts w:ascii="宋体" w:eastAsia="宋体" w:cs="宋体"/>
                      <w:sz w:val="22"/>
                    </w:rPr>
                    <w:t>目标4.通过参加口岸公共卫生安全集中专项工作等，提升关员工作能力。</w:t>
                  </w:r>
                </w:p>
              </w:tc>
            </w:tr>
            <w:tr>
              <w:trPr>
                <w:trHeight w:val="599"/>
              </w:trPr>
              <w:tc>
                <w:tcPr>
                  <w:tcW w:w="629"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4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40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9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7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24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40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购置传染病防控所需试剂耗材等物资</w:t>
                  </w:r>
                </w:p>
              </w:tc>
              <w:tc>
                <w:tcPr>
                  <w:tcW w:w="9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59"/>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246" w:type="dxa"/>
                  <w:vMerge/>
                  <w:tcBorders>
                    <w:top w:val="single" w:sz="6" w:space="0" w:color="auto"/>
                    <w:left w:val="nil"/>
                    <w:bottom w:val="single" w:sz="6" w:space="0" w:color="auto"/>
                    <w:right w:val="single" w:sz="6" w:space="0" w:color="auto"/>
                    <w:tl2br w:val="nil"/>
                    <w:tr2bl w:val="nil"/>
                  </w:tcBorders>
                  <w:noWrap/>
                  <w:vAlign w:val="center"/>
                </w:tcPr>
                <w:p/>
              </w:tc>
              <w:tc>
                <w:tcPr>
                  <w:tcW w:w="140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开展口岸公共卫生安全宣传活动次数</w:t>
                  </w:r>
                </w:p>
              </w:tc>
              <w:tc>
                <w:tcPr>
                  <w:tcW w:w="9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≥3次</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246" w:type="dxa"/>
                  <w:vMerge/>
                  <w:tcBorders>
                    <w:top w:val="single" w:sz="6" w:space="0" w:color="auto"/>
                    <w:left w:val="nil"/>
                    <w:bottom w:val="single" w:sz="6" w:space="0" w:color="auto"/>
                    <w:right w:val="single" w:sz="6" w:space="0" w:color="auto"/>
                    <w:tl2br w:val="nil"/>
                    <w:tr2bl w:val="nil"/>
                  </w:tcBorders>
                  <w:noWrap/>
                  <w:vAlign w:val="center"/>
                </w:tcPr>
                <w:p/>
              </w:tc>
              <w:tc>
                <w:tcPr>
                  <w:tcW w:w="140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口岸公共卫生安全宣传活动完成率</w:t>
                  </w:r>
                </w:p>
              </w:tc>
              <w:tc>
                <w:tcPr>
                  <w:tcW w:w="9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4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246" w:type="dxa"/>
                  <w:vMerge/>
                  <w:tcBorders>
                    <w:top w:val="single" w:sz="6" w:space="0" w:color="auto"/>
                    <w:left w:val="nil"/>
                    <w:bottom w:val="single" w:sz="6" w:space="0" w:color="auto"/>
                    <w:right w:val="single" w:sz="6" w:space="0" w:color="auto"/>
                    <w:tl2br w:val="nil"/>
                    <w:tr2bl w:val="nil"/>
                  </w:tcBorders>
                  <w:noWrap/>
                  <w:vAlign w:val="center"/>
                </w:tcPr>
                <w:p/>
              </w:tc>
              <w:tc>
                <w:tcPr>
                  <w:tcW w:w="140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购置的传染病防控所需试剂耗材等物资验收合格率</w:t>
                  </w:r>
                </w:p>
              </w:tc>
              <w:tc>
                <w:tcPr>
                  <w:tcW w:w="9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76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24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40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口岸传染病排查处置率</w:t>
                  </w:r>
                </w:p>
              </w:tc>
              <w:tc>
                <w:tcPr>
                  <w:tcW w:w="90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sz w:val="48"/>
                <w:szCs w:val="48"/>
              </w:rPr>
            </w:pPr>
          </w:p>
        </w:tc>
      </w:tr>
      <w:tr>
        <w:trPr>
          <w:trHeight w:val="312"/>
        </w:trPr>
        <w:tc>
          <w:tcPr>
            <w:tcW w:w="5000" w:type="pct"/>
            <w:vMerge/>
            <w:tcBorders>
              <w:top w:val="nil"/>
              <w:left w:val="nil"/>
              <w:bottom w:val="nil"/>
              <w:right w:val="nil"/>
            </w:tcBorders>
            <w:shd w:val="clear" w:color="auto" w:fill="auto"/>
            <w:noWrap/>
            <w:vAlign w:val="center"/>
          </w:tcPr>
          <w:p/>
        </w:tc>
      </w:tr>
      <w:tr>
        <w:trPr>
          <w:trHeight w:val="312"/>
        </w:trPr>
        <w:tc>
          <w:tcPr>
            <w:tcW w:w="5000" w:type="pct"/>
            <w:vMerge/>
            <w:tcBorders>
              <w:top w:val="nil"/>
              <w:left w:val="nil"/>
              <w:bottom w:val="nil"/>
              <w:right w:val="nil"/>
            </w:tcBorders>
            <w:shd w:val="clear" w:color="auto" w:fill="auto"/>
            <w:noWrap/>
            <w:vAlign w:val="center"/>
          </w:tcPr>
          <w:p/>
        </w:tc>
      </w:tr>
      <w:tr>
        <w:trPr>
          <w:trHeight w:val="624"/>
        </w:trPr>
        <w:tc>
          <w:tcPr>
            <w:tcW w:w="5000" w:type="pct"/>
            <w:vMerge w:val="restart"/>
            <w:tcBorders>
              <w:top w:val="nil"/>
              <w:left w:val="nil"/>
              <w:bottom w:val="nil"/>
              <w:right w:val="nil"/>
            </w:tcBorders>
            <w:shd w:val="clear" w:color="auto" w:fill="auto"/>
            <w:noWrap/>
            <w:vAlign w:val="center"/>
          </w:tcPr>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textAlignment w:val="center"/>
              <w:rPr>
                <w:rFonts w:ascii="宋体" w:cs="宋体"/>
                <w:color w:val="000000"/>
                <w:kern w:val="0"/>
                <w:sz w:val="24"/>
                <w:szCs w:val="24"/>
              </w:rPr>
            </w:pPr>
          </w:p>
          <w:tbl>
            <w:tblPr>
              <w:jc w:val="left"/>
              <w:tblW w:w="896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9"/>
              <w:gridCol w:w="1351"/>
              <w:gridCol w:w="1439"/>
              <w:gridCol w:w="1111"/>
              <w:gridCol w:w="2022"/>
              <w:gridCol w:w="1051"/>
              <w:gridCol w:w="1365"/>
            </w:tblGrid>
            <w:tr>
              <w:trPr>
                <w:trHeight w:val="704"/>
              </w:trPr>
              <w:tc>
                <w:tcPr>
                  <w:tcW w:w="896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96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698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67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55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2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41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07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5.00 </w:t>
                  </w:r>
                </w:p>
              </w:tc>
              <w:tc>
                <w:tcPr>
                  <w:tcW w:w="1365"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07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5.00 </w:t>
                  </w:r>
                </w:p>
              </w:tc>
              <w:tc>
                <w:tcPr>
                  <w:tcW w:w="136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2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07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65"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07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65"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29"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338"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目标1：通过开展国门生物安全监测与安全风险监控，进一步提升国门生物安全保障能力。</w:t>
                  </w:r>
                </w:p>
                <w:p>
                  <w:pPr>
                    <w:rPr>
                      <w:rFonts w:ascii="宋体" w:eastAsia="宋体" w:cs="宋体"/>
                      <w:sz w:val="22"/>
                    </w:rPr>
                  </w:pPr>
                  <w:r>
                    <w:rPr>
                      <w:rFonts w:ascii="宋体" w:eastAsia="宋体" w:cs="宋体"/>
                      <w:sz w:val="22"/>
                    </w:rPr>
                    <w:t>目标2：通过开展国门生物安全相关宣教活动，提升人民群众国门生物安全意识。</w:t>
                  </w:r>
                </w:p>
                <w:p>
                  <w:pPr>
                    <w:rPr>
                      <w:rFonts w:ascii="宋体" w:eastAsia="宋体" w:cs="宋体"/>
                      <w:sz w:val="22"/>
                    </w:rPr>
                  </w:pPr>
                  <w:r>
                    <w:rPr>
                      <w:rFonts w:ascii="宋体" w:eastAsia="宋体" w:cs="宋体"/>
                      <w:sz w:val="22"/>
                    </w:rPr>
                    <w:t>目标3：通过开展外勤执法与监督检查，有效控制重大动植物疫情疫病和有毒有害物质传入传出。</w:t>
                  </w:r>
                </w:p>
                <w:p>
                  <w:pPr>
                    <w:rPr>
                      <w:rFonts w:ascii="宋体" w:eastAsia="宋体" w:cs="宋体"/>
                      <w:sz w:val="22"/>
                    </w:rPr>
                  </w:pPr>
                </w:p>
              </w:tc>
            </w:tr>
            <w:tr>
              <w:trPr>
                <w:trHeight w:val="599"/>
              </w:trPr>
              <w:tc>
                <w:tcPr>
                  <w:tcW w:w="629"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4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36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43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开展国门生物安全宣传次数</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6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4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制定外来有害生物监测计划次数</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36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43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1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国门生物安全宣传计划完成率</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36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4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36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89"/>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4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重大突发检验检疫问题处理案件处理率</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36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p>
            <w:pPr>
              <w:widowControl/>
              <w:jc w:val="center"/>
              <w:textAlignment w:val="center"/>
              <w:rPr>
                <w:rFonts w:ascii="宋体" w:cs="宋体"/>
                <w:color w:val="000000"/>
                <w:kern w:val="0"/>
                <w:sz w:val="24"/>
                <w:szCs w:val="24"/>
              </w:rPr>
            </w:pPr>
          </w:p>
          <w:tbl>
            <w:tblPr>
              <w:jc w:val="left"/>
              <w:tblW w:w="875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9"/>
              <w:gridCol w:w="706"/>
              <w:gridCol w:w="1244"/>
              <w:gridCol w:w="1126"/>
              <w:gridCol w:w="2310"/>
              <w:gridCol w:w="1080"/>
              <w:gridCol w:w="1663"/>
            </w:tblGrid>
            <w:tr>
              <w:trPr>
                <w:trHeight w:val="704"/>
              </w:trPr>
              <w:tc>
                <w:tcPr>
                  <w:tcW w:w="875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875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3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42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764"/>
              </w:trPr>
              <w:tc>
                <w:tcPr>
                  <w:tcW w:w="13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7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33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7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39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663" w:type="dxa"/>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pStyle w:val="120"/>
                    <w:jc w:val="center"/>
                    <w:rPr>
                      <w:rFonts w:ascii="宋体" w:eastAsia="宋体" w:cs="宋体"/>
                      <w:sz w:val="22"/>
                    </w:rPr>
                  </w:pPr>
                  <w:r>
                    <w:rPr>
                      <w:rFonts w:ascii="宋体" w:eastAsia="宋体" w:cs="宋体"/>
                      <w:sz w:val="22"/>
                    </w:rPr>
                    <w:t>执行率</w:t>
                  </w:r>
                </w:p>
                <w:p>
                  <w:pPr>
                    <w:pStyle w:val="120"/>
                    <w:jc w:val="center"/>
                    <w:rPr>
                      <w:rFonts w:ascii="宋体" w:eastAsia="宋体" w:cs="宋体"/>
                      <w:sz w:val="22"/>
                    </w:rPr>
                  </w:pPr>
                  <w:r>
                    <w:rPr>
                      <w:rFonts w:ascii="宋体" w:eastAsia="宋体" w:cs="宋体"/>
                      <w:sz w:val="22"/>
                    </w:rPr>
                    <w:t>分值</w:t>
                  </w:r>
                </w:p>
                <w:p>
                  <w:pPr>
                    <w:pStyle w:val="120"/>
                    <w:jc w:val="center"/>
                    <w:rPr>
                      <w:rFonts w:ascii="宋体" w:eastAsia="宋体" w:cs="宋体"/>
                      <w:sz w:val="22"/>
                    </w:rPr>
                  </w:pPr>
                  <w:r>
                    <w:rPr>
                      <w:rFonts w:ascii="宋体" w:eastAsia="宋体" w:cs="宋体"/>
                      <w:sz w:val="22"/>
                    </w:rPr>
                    <w:t>（10）</w:t>
                  </w:r>
                </w:p>
              </w:tc>
            </w:tr>
            <w:tr>
              <w:trPr>
                <w:trHeight w:val="434"/>
              </w:trPr>
              <w:tc>
                <w:tcPr>
                  <w:tcW w:w="1335" w:type="dxa"/>
                  <w:gridSpan w:val="2"/>
                  <w:vMerge/>
                  <w:tcBorders>
                    <w:top w:val="nil"/>
                    <w:left w:val="single" w:sz="6" w:space="0" w:color="auto"/>
                    <w:bottom w:val="nil"/>
                    <w:right w:val="single" w:sz="6" w:space="0" w:color="auto"/>
                    <w:tl2br w:val="nil"/>
                    <w:tr2bl w:val="nil"/>
                  </w:tcBorders>
                  <w:noWrap/>
                  <w:vAlign w:val="center"/>
                </w:tcPr>
                <w:p/>
              </w:tc>
              <w:tc>
                <w:tcPr>
                  <w:tcW w:w="237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39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663" w:type="dxa"/>
                  <w:vMerge/>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tc>
            </w:tr>
            <w:tr>
              <w:trPr>
                <w:trHeight w:val="434"/>
              </w:trPr>
              <w:tc>
                <w:tcPr>
                  <w:tcW w:w="1335" w:type="dxa"/>
                  <w:gridSpan w:val="2"/>
                  <w:vMerge/>
                  <w:tcBorders>
                    <w:top w:val="nil"/>
                    <w:left w:val="single" w:sz="6" w:space="0" w:color="auto"/>
                    <w:bottom w:val="nil"/>
                    <w:right w:val="single" w:sz="6" w:space="0" w:color="auto"/>
                    <w:tl2br w:val="nil"/>
                    <w:tr2bl w:val="nil"/>
                  </w:tcBorders>
                  <w:noWrap/>
                  <w:vAlign w:val="center"/>
                </w:tcPr>
                <w:p/>
              </w:tc>
              <w:tc>
                <w:tcPr>
                  <w:tcW w:w="237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39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663" w:type="dxa"/>
                  <w:vMerge/>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tc>
            </w:tr>
            <w:tr>
              <w:trPr>
                <w:trHeight w:val="434"/>
              </w:trPr>
              <w:tc>
                <w:tcPr>
                  <w:tcW w:w="133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7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39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663" w:type="dxa"/>
                  <w:vMerge/>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tc>
            </w:tr>
            <w:tr>
              <w:trPr>
                <w:trHeight w:val="1784"/>
              </w:trPr>
              <w:tc>
                <w:tcPr>
                  <w:tcW w:w="629"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128"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目标1：通过开展外出执法活动，履行进出口商品检验监管职能，强化危化品等重点敏感商品检验监管能力，有效提升维护国门安全水平。</w:t>
                  </w:r>
                </w:p>
                <w:p>
                  <w:pPr>
                    <w:rPr>
                      <w:rFonts w:ascii="宋体" w:eastAsia="宋体" w:cs="宋体"/>
                      <w:sz w:val="22"/>
                    </w:rPr>
                  </w:pPr>
                  <w:r>
                    <w:rPr>
                      <w:rFonts w:ascii="宋体" w:eastAsia="宋体" w:cs="宋体"/>
                      <w:sz w:val="22"/>
                    </w:rPr>
                    <w:t>目标2：通过对棉花实训基地展示内容进行更新，强化进出口商品检验内容，营造浓厚宣传氛围。</w:t>
                  </w:r>
                </w:p>
                <w:p>
                  <w:pPr>
                    <w:rPr>
                      <w:rFonts w:ascii="宋体" w:eastAsia="宋体" w:cs="宋体"/>
                      <w:sz w:val="22"/>
                    </w:rPr>
                  </w:pPr>
                </w:p>
              </w:tc>
            </w:tr>
            <w:tr>
              <w:trPr>
                <w:trHeight w:val="599"/>
              </w:trPr>
              <w:tc>
                <w:tcPr>
                  <w:tcW w:w="629"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70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2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8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6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719"/>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70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24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开展重点商品质量安全检验监管制度研究</w:t>
                  </w:r>
                </w:p>
              </w:tc>
              <w:tc>
                <w:tcPr>
                  <w:tcW w:w="108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6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7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706" w:type="dxa"/>
                  <w:vMerge/>
                  <w:tcBorders>
                    <w:top w:val="single" w:sz="6" w:space="0" w:color="auto"/>
                    <w:left w:val="nil"/>
                    <w:bottom w:val="single" w:sz="6" w:space="0" w:color="auto"/>
                    <w:right w:val="single" w:sz="6" w:space="0" w:color="auto"/>
                    <w:tl2br w:val="nil"/>
                    <w:tr2bl w:val="nil"/>
                  </w:tcBorders>
                  <w:noWrap/>
                  <w:vAlign w:val="center"/>
                </w:tcPr>
                <w:p/>
              </w:tc>
              <w:tc>
                <w:tcPr>
                  <w:tcW w:w="124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检验批次数</w:t>
                  </w:r>
                </w:p>
              </w:tc>
              <w:tc>
                <w:tcPr>
                  <w:tcW w:w="108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≥10000批次</w:t>
                  </w:r>
                </w:p>
              </w:tc>
              <w:tc>
                <w:tcPr>
                  <w:tcW w:w="16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706" w:type="dxa"/>
                  <w:vMerge/>
                  <w:tcBorders>
                    <w:top w:val="single" w:sz="6" w:space="0" w:color="auto"/>
                    <w:left w:val="nil"/>
                    <w:bottom w:val="single" w:sz="6" w:space="0" w:color="auto"/>
                    <w:right w:val="single" w:sz="6" w:space="0" w:color="auto"/>
                    <w:tl2br w:val="nil"/>
                    <w:tr2bl w:val="nil"/>
                  </w:tcBorders>
                  <w:noWrap/>
                  <w:vAlign w:val="center"/>
                </w:tcPr>
                <w:p/>
              </w:tc>
              <w:tc>
                <w:tcPr>
                  <w:tcW w:w="124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提出的风险处置建议条数</w:t>
                  </w:r>
                </w:p>
              </w:tc>
              <w:tc>
                <w:tcPr>
                  <w:tcW w:w="108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≥1条</w:t>
                  </w:r>
                </w:p>
              </w:tc>
              <w:tc>
                <w:tcPr>
                  <w:tcW w:w="16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706" w:type="dxa"/>
                  <w:vMerge/>
                  <w:tcBorders>
                    <w:top w:val="single" w:sz="6" w:space="0" w:color="auto"/>
                    <w:left w:val="nil"/>
                    <w:bottom w:val="single" w:sz="6" w:space="0" w:color="auto"/>
                    <w:right w:val="single" w:sz="6" w:space="0" w:color="auto"/>
                    <w:tl2br w:val="nil"/>
                    <w:tr2bl w:val="nil"/>
                  </w:tcBorders>
                  <w:noWrap/>
                  <w:vAlign w:val="center"/>
                </w:tcPr>
                <w:p/>
              </w:tc>
              <w:tc>
                <w:tcPr>
                  <w:tcW w:w="124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撰写业务研究报告数量</w:t>
                  </w:r>
                </w:p>
              </w:tc>
              <w:tc>
                <w:tcPr>
                  <w:tcW w:w="108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≥1份</w:t>
                  </w:r>
                </w:p>
              </w:tc>
              <w:tc>
                <w:tcPr>
                  <w:tcW w:w="16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929"/>
              </w:trPr>
              <w:tc>
                <w:tcPr>
                  <w:tcW w:w="629" w:type="dxa"/>
                  <w:vMerge/>
                  <w:tcBorders>
                    <w:top w:val="nil"/>
                    <w:left w:val="single" w:sz="6" w:space="0" w:color="auto"/>
                    <w:bottom w:val="single" w:sz="6" w:space="0" w:color="auto"/>
                    <w:right w:val="single" w:sz="6" w:space="0" w:color="auto"/>
                    <w:tl2br w:val="nil"/>
                    <w:tr2bl w:val="nil"/>
                  </w:tcBorders>
                  <w:noWrap/>
                  <w:vAlign w:val="center"/>
                </w:tcPr>
                <w:p/>
              </w:tc>
              <w:tc>
                <w:tcPr>
                  <w:tcW w:w="70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2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不发生因海关检验原因导致的进口消费类商品危害人民群众生命健康重大质量安全事故</w:t>
                  </w:r>
                </w:p>
              </w:tc>
              <w:tc>
                <w:tcPr>
                  <w:tcW w:w="108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6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widowControl/>
              <w:jc w:val="center"/>
              <w:textAlignment w:val="center"/>
              <w:rPr>
                <w:rFonts w:ascii="宋体" w:cs="宋体"/>
                <w:b/>
                <w:bCs/>
                <w:color w:val="000000"/>
                <w:sz w:val="48"/>
                <w:szCs w:val="48"/>
              </w:rPr>
            </w:pPr>
          </w:p>
        </w:tc>
      </w:tr>
      <w:tr>
        <w:trPr>
          <w:trHeight w:val="312"/>
        </w:trPr>
        <w:tc>
          <w:tcPr>
            <w:tcW w:w="5000" w:type="pct"/>
            <w:vMerge/>
            <w:tcBorders>
              <w:top w:val="nil"/>
              <w:left w:val="nil"/>
              <w:bottom w:val="nil"/>
              <w:right w:val="nil"/>
            </w:tcBorders>
            <w:shd w:val="clear" w:color="auto" w:fill="auto"/>
            <w:noWrap/>
            <w:vAlign w:val="center"/>
          </w:tcPr>
          <w:p/>
        </w:tc>
      </w:tr>
      <w:tr>
        <w:trPr>
          <w:trHeight w:val="312"/>
        </w:trPr>
        <w:tc>
          <w:tcPr>
            <w:tcW w:w="5000" w:type="pct"/>
            <w:vMerge/>
            <w:tcBorders>
              <w:top w:val="nil"/>
              <w:left w:val="nil"/>
              <w:bottom w:val="nil"/>
              <w:right w:val="nil"/>
            </w:tcBorders>
            <w:shd w:val="clear" w:color="auto" w:fill="auto"/>
            <w:noWrap/>
            <w:vAlign w:val="center"/>
          </w:tcPr>
          <w:p/>
        </w:tc>
      </w:tr>
      <w:tr>
        <w:trPr>
          <w:trHeight w:val="624"/>
        </w:trPr>
        <w:tc>
          <w:tcPr>
            <w:tcW w:w="5000" w:type="pct"/>
            <w:vMerge w:val="restart"/>
            <w:tcBorders>
              <w:top w:val="nil"/>
              <w:left w:val="nil"/>
              <w:bottom w:val="nil"/>
              <w:right w:val="nil"/>
            </w:tcBorders>
            <w:shd w:val="clear" w:color="auto" w:fill="auto"/>
            <w:noWrap/>
            <w:vAlign w:val="center"/>
          </w:tcPr>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tbl>
            <w:tblPr>
              <w:jc w:val="left"/>
              <w:tblW w:w="907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28"/>
              <w:gridCol w:w="1202"/>
              <w:gridCol w:w="1213"/>
              <w:gridCol w:w="1517"/>
              <w:gridCol w:w="1483"/>
              <w:gridCol w:w="962"/>
              <w:gridCol w:w="2068"/>
            </w:tblGrid>
            <w:tr>
              <w:trPr>
                <w:trHeight w:val="704"/>
              </w:trPr>
              <w:tc>
                <w:tcPr>
                  <w:tcW w:w="907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907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18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进出口食品及化妆品安全专项</w:t>
                  </w:r>
                </w:p>
              </w:tc>
            </w:tr>
            <w:tr>
              <w:trPr>
                <w:trHeight w:val="764"/>
              </w:trPr>
              <w:tc>
                <w:tcPr>
                  <w:tcW w:w="18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73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48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2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中华人民共和国滨州海关</w:t>
                  </w:r>
                </w:p>
              </w:tc>
            </w:tr>
            <w:tr>
              <w:trPr>
                <w:trHeight w:val="434"/>
              </w:trPr>
              <w:tc>
                <w:tcPr>
                  <w:tcW w:w="183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7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4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3.00 </w:t>
                  </w:r>
                </w:p>
              </w:tc>
              <w:tc>
                <w:tcPr>
                  <w:tcW w:w="2068" w:type="dxa"/>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pStyle w:val="119"/>
                    <w:jc w:val="center"/>
                    <w:rPr>
                      <w:rFonts w:ascii="宋体" w:eastAsia="宋体" w:cs="宋体"/>
                      <w:sz w:val="22"/>
                    </w:rPr>
                  </w:pPr>
                  <w:r>
                    <w:rPr>
                      <w:rFonts w:ascii="宋体" w:eastAsia="宋体" w:cs="宋体"/>
                      <w:sz w:val="22"/>
                    </w:rPr>
                    <w:t>执行率</w:t>
                  </w:r>
                </w:p>
                <w:p>
                  <w:pPr>
                    <w:pStyle w:val="119"/>
                    <w:jc w:val="center"/>
                    <w:rPr>
                      <w:rFonts w:ascii="宋体" w:eastAsia="宋体" w:cs="宋体"/>
                      <w:sz w:val="22"/>
                    </w:rPr>
                  </w:pPr>
                  <w:r>
                    <w:rPr>
                      <w:rFonts w:ascii="宋体" w:eastAsia="宋体" w:cs="宋体"/>
                      <w:sz w:val="22"/>
                    </w:rPr>
                    <w:t>分值</w:t>
                  </w:r>
                </w:p>
                <w:p>
                  <w:pPr>
                    <w:pStyle w:val="119"/>
                    <w:jc w:val="center"/>
                    <w:rPr>
                      <w:rFonts w:ascii="宋体" w:eastAsia="宋体" w:cs="宋体"/>
                      <w:sz w:val="22"/>
                    </w:rPr>
                  </w:pPr>
                  <w:r>
                    <w:rPr>
                      <w:rFonts w:ascii="宋体" w:eastAsia="宋体" w:cs="宋体"/>
                      <w:sz w:val="22"/>
                    </w:rPr>
                    <w:t>（10）</w:t>
                  </w:r>
                </w:p>
              </w:tc>
            </w:tr>
            <w:tr>
              <w:trPr>
                <w:trHeight w:val="434"/>
              </w:trPr>
              <w:tc>
                <w:tcPr>
                  <w:tcW w:w="1830" w:type="dxa"/>
                  <w:gridSpan w:val="2"/>
                  <w:vMerge/>
                  <w:tcBorders>
                    <w:top w:val="nil"/>
                    <w:left w:val="single" w:sz="6" w:space="0" w:color="auto"/>
                    <w:bottom w:val="nil"/>
                    <w:right w:val="single" w:sz="6" w:space="0" w:color="auto"/>
                    <w:tl2br w:val="nil"/>
                    <w:tr2bl w:val="nil"/>
                  </w:tcBorders>
                  <w:noWrap/>
                  <w:vAlign w:val="center"/>
                </w:tcPr>
                <w:p/>
              </w:tc>
              <w:tc>
                <w:tcPr>
                  <w:tcW w:w="27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4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3.00 </w:t>
                  </w:r>
                </w:p>
              </w:tc>
              <w:tc>
                <w:tcPr>
                  <w:tcW w:w="2068" w:type="dxa"/>
                  <w:vMerge/>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tc>
            </w:tr>
            <w:tr>
              <w:trPr>
                <w:trHeight w:val="434"/>
              </w:trPr>
              <w:tc>
                <w:tcPr>
                  <w:tcW w:w="1830" w:type="dxa"/>
                  <w:gridSpan w:val="2"/>
                  <w:vMerge/>
                  <w:tcBorders>
                    <w:top w:val="nil"/>
                    <w:left w:val="single" w:sz="6" w:space="0" w:color="auto"/>
                    <w:bottom w:val="nil"/>
                    <w:right w:val="single" w:sz="6" w:space="0" w:color="auto"/>
                    <w:tl2br w:val="nil"/>
                    <w:tr2bl w:val="nil"/>
                  </w:tcBorders>
                  <w:noWrap/>
                  <w:vAlign w:val="center"/>
                </w:tcPr>
                <w:p/>
              </w:tc>
              <w:tc>
                <w:tcPr>
                  <w:tcW w:w="27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4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2068" w:type="dxa"/>
                  <w:vMerge/>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tc>
            </w:tr>
            <w:tr>
              <w:trPr>
                <w:trHeight w:val="434"/>
              </w:trPr>
              <w:tc>
                <w:tcPr>
                  <w:tcW w:w="183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73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44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2068" w:type="dxa"/>
                  <w:vMerge/>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tc>
            </w:tr>
            <w:tr>
              <w:trPr>
                <w:trHeight w:val="1784"/>
              </w:trPr>
              <w:tc>
                <w:tcPr>
                  <w:tcW w:w="62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4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目标1.积极开展食品安全宣传周活动，提升人民群众进出口食品安全意识。</w:t>
                  </w:r>
                </w:p>
                <w:p>
                  <w:pPr>
                    <w:rPr>
                      <w:rFonts w:ascii="宋体" w:eastAsia="宋体" w:cs="宋体"/>
                      <w:sz w:val="22"/>
                    </w:rPr>
                  </w:pPr>
                  <w:r>
                    <w:rPr>
                      <w:rFonts w:ascii="宋体" w:eastAsia="宋体" w:cs="宋体"/>
                      <w:sz w:val="22"/>
                    </w:rPr>
                    <w:t>目标2.通过开展进出口食品化妆品安全风险信息收集、汇总工作，提升风险防范能力。</w:t>
                  </w:r>
                </w:p>
                <w:p>
                  <w:pPr>
                    <w:rPr>
                      <w:rFonts w:ascii="宋体" w:eastAsia="宋体" w:cs="宋体"/>
                      <w:sz w:val="22"/>
                    </w:rPr>
                  </w:pPr>
                  <w:r>
                    <w:rPr>
                      <w:rFonts w:ascii="宋体" w:eastAsia="宋体" w:cs="宋体"/>
                      <w:sz w:val="22"/>
                    </w:rPr>
                    <w:t xml:space="preserve">目标3.通过开展外勤执法等业务活动，提升海关执法能力。 </w:t>
                  </w:r>
                </w:p>
              </w:tc>
            </w:tr>
            <w:tr>
              <w:trPr>
                <w:trHeight w:val="599"/>
              </w:trPr>
              <w:tc>
                <w:tcPr>
                  <w:tcW w:w="62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2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89"/>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21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开展食品安全宣传周活动场次数</w:t>
                  </w:r>
                </w:p>
              </w:tc>
              <w:tc>
                <w:tcPr>
                  <w:tcW w:w="96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2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9"/>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nil"/>
                    <w:bottom w:val="single" w:sz="6" w:space="0" w:color="auto"/>
                    <w:right w:val="single" w:sz="6" w:space="0" w:color="auto"/>
                    <w:tl2br w:val="nil"/>
                    <w:tr2bl w:val="nil"/>
                  </w:tcBorders>
                  <w:noWrap/>
                  <w:vAlign w:val="center"/>
                </w:tcPr>
                <w:p/>
              </w:tc>
              <w:tc>
                <w:tcPr>
                  <w:tcW w:w="121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制定进出口食品化妆品风险监测方案</w:t>
                  </w:r>
                </w:p>
              </w:tc>
              <w:tc>
                <w:tcPr>
                  <w:tcW w:w="96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≥1项</w:t>
                  </w:r>
                </w:p>
              </w:tc>
              <w:tc>
                <w:tcPr>
                  <w:tcW w:w="2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39"/>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nil"/>
                    <w:bottom w:val="single" w:sz="6" w:space="0" w:color="auto"/>
                    <w:right w:val="single" w:sz="6" w:space="0" w:color="auto"/>
                    <w:tl2br w:val="nil"/>
                    <w:tr2bl w:val="nil"/>
                  </w:tcBorders>
                  <w:noWrap/>
                  <w:vAlign w:val="center"/>
                </w:tcPr>
                <w:p/>
              </w:tc>
              <w:tc>
                <w:tcPr>
                  <w:tcW w:w="121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进出口食品化妆品监督抽检完成率</w:t>
                  </w:r>
                </w:p>
              </w:tc>
              <w:tc>
                <w:tcPr>
                  <w:tcW w:w="96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2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73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nil"/>
                    <w:bottom w:val="single" w:sz="6" w:space="0" w:color="auto"/>
                    <w:right w:val="single" w:sz="6" w:space="0" w:color="auto"/>
                    <w:tl2br w:val="nil"/>
                    <w:tr2bl w:val="nil"/>
                  </w:tcBorders>
                  <w:noWrap/>
                  <w:vAlign w:val="center"/>
                </w:tcPr>
                <w:p/>
              </w:tc>
              <w:tc>
                <w:tcPr>
                  <w:tcW w:w="121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进出口食品化妆品风险监测完成率</w:t>
                  </w:r>
                </w:p>
              </w:tc>
              <w:tc>
                <w:tcPr>
                  <w:tcW w:w="96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2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44"/>
              </w:trPr>
              <w:tc>
                <w:tcPr>
                  <w:tcW w:w="628"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0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宣传受众人次数</w:t>
                  </w:r>
                </w:p>
              </w:tc>
              <w:tc>
                <w:tcPr>
                  <w:tcW w:w="962"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≥50人</w:t>
                  </w:r>
                </w:p>
              </w:tc>
              <w:tc>
                <w:tcPr>
                  <w:tcW w:w="2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kern w:val="0"/>
                <w:sz w:val="48"/>
                <w:szCs w:val="48"/>
              </w:rPr>
            </w:pPr>
          </w:p>
          <w:p>
            <w:pPr>
              <w:widowControl/>
              <w:jc w:val="center"/>
              <w:textAlignment w:val="center"/>
              <w:rPr>
                <w:rFonts w:ascii="宋体" w:cs="宋体"/>
                <w:b/>
                <w:bCs/>
                <w:color w:val="000000"/>
                <w:sz w:val="48"/>
                <w:szCs w:val="48"/>
              </w:rPr>
            </w:pPr>
          </w:p>
        </w:tc>
      </w:tr>
      <w:tr>
        <w:trPr>
          <w:trHeight w:val="312"/>
        </w:trPr>
        <w:tc>
          <w:tcPr>
            <w:tcW w:w="5000" w:type="pct"/>
            <w:vMerge/>
            <w:tcBorders>
              <w:top w:val="nil"/>
              <w:left w:val="nil"/>
              <w:bottom w:val="nil"/>
              <w:right w:val="nil"/>
            </w:tcBorders>
            <w:shd w:val="clear" w:color="auto" w:fill="auto"/>
            <w:noWrap/>
            <w:vAlign w:val="center"/>
          </w:tcPr>
          <w:p/>
        </w:tc>
      </w:tr>
      <w:tr>
        <w:trPr>
          <w:trHeight w:val="312"/>
        </w:trPr>
        <w:tc>
          <w:tcPr>
            <w:tcW w:w="5000" w:type="pct"/>
            <w:vMerge/>
            <w:tcBorders>
              <w:top w:val="nil"/>
              <w:left w:val="nil"/>
              <w:bottom w:val="nil"/>
              <w:right w:val="nil"/>
            </w:tcBorders>
            <w:shd w:val="clear" w:color="auto" w:fill="auto"/>
            <w:noWrap/>
            <w:vAlign w:val="center"/>
          </w:tcPr>
          <w:p/>
        </w:tc>
      </w:tr>
    </w:tbl>
    <w:p>
      <w:pPr>
        <w:rPr>
          <w:rFonts w:ascii="Times New Roman" w:hAnsi="Times New Roman"/>
          <w:bCs/>
          <w:sz w:val="32"/>
          <w:szCs w:val="32"/>
        </w:rPr>
      </w:pPr>
    </w:p>
    <w:sectPr>
      <w:pgSz w:w="11906" w:h="16838"/>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tabs>
        <w:tab w:val="center" w:pos="4153"/>
        <w:tab w:val="right" w:pos="8307"/>
      </w:tabs>
    </w:pPr>
    <w:r>
      <w:rPr>
        <w:rStyle w:val="21"/>
      </w:rPr>
      <w:fldChar w:fldCharType="begin"/>
    </w:r>
    <w:r>
      <w:rPr>
        <w:rStyle w:val="21"/>
      </w:rPr>
      <w:instrText>Page</w:instrText>
    </w:r>
    <w:r>
      <w:rPr>
        <w:rStyle w:val="21"/>
      </w:rPr>
      <w:fldChar w:fldCharType="separate"/>
    </w:r>
    <w:r>
      <w:rPr>
        <w:rStyle w:val="21"/>
      </w:rPr>
      <w:t>0</w:t>
    </w:r>
    <w:r>
      <w:rPr>
        <w:rStyle w:val="21"/>
      </w:rPr>
      <w:fldChar w:fldCharType="end"/>
    </w:r>
  </w:p>
  <w:p>
    <w:pPr>
      <w:pStyle w:val="17"/>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jYyNDk2ODBiZjJiM2QxZDQzYzFjZjllZjU2MTA2N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index 8"/>
    <w:basedOn w:val="0"/>
    <w:next w:val="0"/>
    <w:pPr>
      <w:ind w:leftChars="1400" w:left="1400"/>
    </w:pPr>
  </w:style>
  <w:style w:type="paragraph" w:styleId="16">
    <w:name w:val="Balloon Text"/>
    <w:basedOn w:val="0"/>
    <w:rPr>
      <w:sz w:val="18"/>
      <w:szCs w:val="18"/>
    </w:rPr>
  </w:style>
  <w:style w:type="paragraph" w:styleId="17">
    <w:name w:val="footer"/>
    <w:basedOn w:val="0"/>
    <w:pPr>
      <w:tabs>
        <w:tab w:val="center" w:pos="4153"/>
        <w:tab w:val="right" w:pos="8307"/>
      </w:tabs>
      <w:snapToGrid w:val="0"/>
      <w:jc w:val="left"/>
    </w:pPr>
    <w:rPr>
      <w:sz w:val="18"/>
    </w:rPr>
  </w:style>
  <w:style w:type="paragraph" w:styleId="18">
    <w:name w:val="header"/>
    <w:basedOn w:val="0"/>
    <w:pPr>
      <w:tabs>
        <w:tab w:val="center" w:pos="4153"/>
        <w:tab w:val="right" w:pos="8306"/>
      </w:tabs>
      <w:snapToGrid w:val="0"/>
    </w:pPr>
    <w:rPr>
      <w:sz w:val="18"/>
    </w:rPr>
  </w:style>
  <w:style w:type="paragraph" w:styleId="19">
    <w:name w:val="index 9"/>
    <w:basedOn w:val="0"/>
    <w:next w:val="0"/>
    <w:pPr>
      <w:ind w:leftChars="1600" w:left="1600"/>
    </w:pPr>
  </w:style>
  <w:style w:type="paragraph" w:styleId="20">
    <w:name w:val="Normal (Web)"/>
    <w:basedOn w:val="0"/>
    <w:rPr>
      <w:sz w:val="24"/>
    </w:rPr>
  </w:style>
  <w:style w:type="character" w:styleId="21">
    <w:name w:val="page number"/>
    <w:basedOn w:val="10"/>
  </w:style>
  <w:style w:type="paragraph" w:customStyle="1" w:styleId="22">
    <w:name w:val="样式 4 10 磅"/>
    <w:basedOn w:val="0"/>
    <w:rPr>
      <w:rFonts w:ascii="Times New Roman" w:cs="Times New Roman" w:hAnsi="Times New Roman"/>
      <w:szCs w:val="21"/>
    </w:rPr>
  </w:style>
  <w:style w:type="paragraph" w:customStyle="1" w:styleId="23">
    <w:name w:val="样式 51 10 磅"/>
    <w:basedOn w:val="0"/>
    <w:rPr>
      <w:rFonts w:ascii="Times New Roman" w:cs="Times New Roman" w:hAnsi="Times New Roman"/>
      <w:szCs w:val="21"/>
    </w:rPr>
  </w:style>
  <w:style w:type="paragraph" w:customStyle="1" w:styleId="24">
    <w:name w:val="样式 36 10 磅"/>
    <w:basedOn w:val="0"/>
    <w:rPr>
      <w:rFonts w:ascii="Times New Roman" w:cs="Times New Roman" w:hAnsi="Times New Roman"/>
      <w:szCs w:val="21"/>
    </w:rPr>
  </w:style>
  <w:style w:type="paragraph" w:customStyle="1" w:styleId="25">
    <w:name w:val="样式 49 10 磅"/>
    <w:basedOn w:val="0"/>
    <w:rPr>
      <w:rFonts w:ascii="Times New Roman" w:cs="Times New Roman" w:hAnsi="Times New Roman"/>
      <w:szCs w:val="21"/>
    </w:rPr>
  </w:style>
  <w:style w:type="character" w:customStyle="1" w:styleId="26">
    <w:name w:val="font41"/>
    <w:basedOn w:val="10"/>
    <w:rPr>
      <w:rFonts w:ascii="宋体" w:eastAsia="宋体" w:cs="宋体"/>
      <w:color w:val="000000"/>
      <w:sz w:val="22"/>
      <w:szCs w:val="22"/>
      <w:u w:val="none"/>
    </w:rPr>
  </w:style>
  <w:style w:type="character" w:customStyle="1" w:styleId="27">
    <w:name w:val="font61"/>
    <w:basedOn w:val="10"/>
    <w:rPr>
      <w:rFonts w:ascii="宋体" w:eastAsia="宋体" w:cs="宋体"/>
      <w:color w:val="000000"/>
      <w:sz w:val="22"/>
      <w:szCs w:val="22"/>
      <w:u w:val="none"/>
    </w:rPr>
  </w:style>
  <w:style w:type="character" w:customStyle="1" w:styleId="28">
    <w:name w:val="font71"/>
    <w:basedOn w:val="10"/>
    <w:rPr>
      <w:rFonts w:ascii="Times New Roman" w:cs="Times New Roman" w:hAnsi="Times New Roman"/>
      <w:color w:val="000000"/>
      <w:sz w:val="22"/>
      <w:szCs w:val="22"/>
      <w:u w:val="none"/>
    </w:rPr>
  </w:style>
  <w:style w:type="character" w:customStyle="1" w:styleId="29">
    <w:name w:val="font51"/>
    <w:basedOn w:val="10"/>
    <w:rPr>
      <w:rFonts w:ascii="宋体" w:eastAsia="宋体" w:cs="宋体"/>
      <w:color w:val="000000"/>
      <w:sz w:val="22"/>
      <w:szCs w:val="22"/>
      <w:u w:val="none"/>
    </w:rPr>
  </w:style>
  <w:style w:type="character" w:customStyle="1" w:styleId="30">
    <w:name w:val="font01"/>
    <w:basedOn w:val="10"/>
    <w:rPr>
      <w:rFonts w:ascii="宋体" w:eastAsia="宋体" w:cs="宋体"/>
      <w:color w:val="000000"/>
      <w:sz w:val="22"/>
      <w:szCs w:val="22"/>
      <w:u w:val="none"/>
    </w:rPr>
  </w:style>
  <w:style w:type="paragraph" w:customStyle="1" w:styleId="31">
    <w:name w:val="样式 2 10 磅"/>
    <w:basedOn w:val="0"/>
    <w:rPr>
      <w:rFonts w:ascii="Times New Roman" w:cs="Times New Roman" w:hAnsi="Times New Roman"/>
      <w:szCs w:val="21"/>
    </w:rPr>
  </w:style>
  <w:style w:type="paragraph" w:customStyle="1" w:styleId="32">
    <w:name w:val="样式 1 10 磅"/>
    <w:basedOn w:val="0"/>
    <w:rPr>
      <w:rFonts w:ascii="Times New Roman" w:cs="Times New Roman" w:hAnsi="Times New Roman"/>
      <w:szCs w:val="21"/>
    </w:rPr>
  </w:style>
  <w:style w:type="paragraph" w:customStyle="1" w:styleId="33">
    <w:name w:val="列出段落1"/>
    <w:basedOn w:val="0"/>
    <w:pPr>
      <w:ind w:firstLineChars="200" w:firstLine="200"/>
    </w:pPr>
  </w:style>
  <w:style w:type="paragraph" w:customStyle="1" w:styleId="34">
    <w:name w:val="样式 2 三号"/>
    <w:next w:val="15"/>
    <w:pPr>
      <w:widowControl w:val="0"/>
      <w:jc w:val="both"/>
    </w:pPr>
    <w:rPr>
      <w:rFonts w:ascii="Times New Roman" w:eastAsia="方正仿宋_GBK" w:cs="Times New Roman" w:hAnsi="Times New Roman"/>
      <w:kern w:val="2"/>
      <w:sz w:val="32"/>
      <w:szCs w:val="32"/>
      <w:lang w:val="en-US" w:eastAsia="zh-CN" w:bidi="ar-SA"/>
    </w:rPr>
  </w:style>
  <w:style w:type="paragraph" w:customStyle="1" w:styleId="35">
    <w:name w:val="样式 10 磅"/>
    <w:pPr>
      <w:widowControl w:val="0"/>
      <w:jc w:val="both"/>
    </w:pPr>
    <w:rPr>
      <w:rFonts w:ascii="Calibri" w:eastAsia="宋体" w:cs="Arial" w:hAnsi="Calibri"/>
      <w:kern w:val="2"/>
      <w:sz w:val="21"/>
      <w:szCs w:val="22"/>
      <w:lang w:val="en-US" w:eastAsia="zh-CN" w:bidi="ar-SA"/>
    </w:rPr>
  </w:style>
  <w:style w:type="paragraph" w:customStyle="1" w:styleId="36">
    <w:name w:val="样式 3 10 磅"/>
    <w:pPr>
      <w:widowControl w:val="0"/>
      <w:jc w:val="both"/>
    </w:pPr>
    <w:rPr>
      <w:rFonts w:ascii="Calibri" w:eastAsia="宋体" w:cs="Arial" w:hAnsi="Calibri"/>
      <w:kern w:val="2"/>
      <w:sz w:val="21"/>
      <w:szCs w:val="22"/>
      <w:lang w:val="en-US" w:eastAsia="zh-CN" w:bidi="ar-SA"/>
    </w:rPr>
  </w:style>
  <w:style w:type="paragraph" w:customStyle="1" w:styleId="37">
    <w:name w:val="样式 5 10 磅"/>
    <w:pPr>
      <w:widowControl w:val="0"/>
      <w:jc w:val="both"/>
    </w:pPr>
    <w:rPr>
      <w:rFonts w:ascii="Calibri" w:eastAsia="宋体" w:cs="Arial" w:hAnsi="Calibri"/>
      <w:kern w:val="2"/>
      <w:sz w:val="21"/>
      <w:szCs w:val="22"/>
      <w:lang w:val="en-US" w:eastAsia="zh-CN" w:bidi="ar-SA"/>
    </w:rPr>
  </w:style>
  <w:style w:type="paragraph" w:customStyle="1" w:styleId="38">
    <w:name w:val="样式 6 10 磅"/>
    <w:pPr>
      <w:widowControl w:val="0"/>
      <w:jc w:val="both"/>
    </w:pPr>
    <w:rPr>
      <w:rFonts w:ascii="Calibri" w:eastAsia="宋体" w:cs="Arial" w:hAnsi="Calibri"/>
      <w:kern w:val="2"/>
      <w:sz w:val="21"/>
      <w:szCs w:val="22"/>
      <w:lang w:val="en-US" w:eastAsia="zh-CN" w:bidi="ar-SA"/>
    </w:rPr>
  </w:style>
  <w:style w:type="paragraph" w:customStyle="1" w:styleId="39">
    <w:name w:val="样式 7 10 磅"/>
    <w:pPr>
      <w:widowControl w:val="0"/>
      <w:jc w:val="both"/>
    </w:pPr>
    <w:rPr>
      <w:rFonts w:ascii="Calibri" w:eastAsia="宋体" w:cs="Arial" w:hAnsi="Calibri"/>
      <w:kern w:val="2"/>
      <w:sz w:val="21"/>
      <w:szCs w:val="22"/>
      <w:lang w:val="en-US" w:eastAsia="zh-CN" w:bidi="ar-SA"/>
    </w:rPr>
  </w:style>
  <w:style w:type="paragraph" w:customStyle="1" w:styleId="40">
    <w:name w:val="样式 8 10 磅"/>
    <w:pPr>
      <w:widowControl w:val="0"/>
      <w:jc w:val="both"/>
    </w:pPr>
    <w:rPr>
      <w:rFonts w:ascii="Calibri" w:eastAsia="宋体" w:cs="Arial" w:hAnsi="Calibri"/>
      <w:kern w:val="2"/>
      <w:sz w:val="21"/>
      <w:szCs w:val="22"/>
      <w:lang w:val="en-US" w:eastAsia="zh-CN" w:bidi="ar-SA"/>
    </w:rPr>
  </w:style>
  <w:style w:type="paragraph" w:customStyle="1" w:styleId="41">
    <w:name w:val="样式 9 10 磅"/>
    <w:pPr>
      <w:widowControl w:val="0"/>
      <w:jc w:val="both"/>
    </w:pPr>
    <w:rPr>
      <w:rFonts w:ascii="Calibri" w:eastAsia="宋体" w:cs="Arial" w:hAnsi="Calibri"/>
      <w:kern w:val="2"/>
      <w:sz w:val="21"/>
      <w:szCs w:val="22"/>
      <w:lang w:val="en-US" w:eastAsia="zh-CN" w:bidi="ar-SA"/>
    </w:rPr>
  </w:style>
  <w:style w:type="paragraph" w:customStyle="1" w:styleId="42">
    <w:name w:val="样式 10 10 磅"/>
    <w:pPr>
      <w:widowControl w:val="0"/>
      <w:jc w:val="both"/>
    </w:pPr>
    <w:rPr>
      <w:rFonts w:ascii="Calibri" w:eastAsia="宋体" w:cs="Arial" w:hAnsi="Calibri"/>
      <w:kern w:val="2"/>
      <w:sz w:val="21"/>
      <w:szCs w:val="22"/>
      <w:lang w:val="en-US" w:eastAsia="zh-CN" w:bidi="ar-SA"/>
    </w:rPr>
  </w:style>
  <w:style w:type="paragraph" w:customStyle="1" w:styleId="43">
    <w:name w:val="样式 11 10 磅"/>
    <w:pPr>
      <w:widowControl w:val="0"/>
      <w:jc w:val="both"/>
    </w:pPr>
    <w:rPr>
      <w:rFonts w:ascii="Calibri" w:eastAsia="宋体" w:cs="Arial" w:hAnsi="Calibri"/>
      <w:kern w:val="2"/>
      <w:sz w:val="21"/>
      <w:szCs w:val="22"/>
      <w:lang w:val="en-US" w:eastAsia="zh-CN" w:bidi="ar-SA"/>
    </w:rPr>
  </w:style>
  <w:style w:type="paragraph" w:customStyle="1" w:styleId="44">
    <w:name w:val="样式 12 10 磅"/>
    <w:pPr>
      <w:widowControl w:val="0"/>
      <w:jc w:val="both"/>
    </w:pPr>
    <w:rPr>
      <w:rFonts w:ascii="Calibri" w:eastAsia="宋体" w:cs="Arial" w:hAnsi="Calibri"/>
      <w:kern w:val="2"/>
      <w:sz w:val="21"/>
      <w:szCs w:val="22"/>
      <w:lang w:val="en-US" w:eastAsia="zh-CN" w:bidi="ar-SA"/>
    </w:rPr>
  </w:style>
  <w:style w:type="paragraph" w:customStyle="1" w:styleId="45">
    <w:name w:val="样式 13 10 磅"/>
    <w:pPr>
      <w:widowControl w:val="0"/>
      <w:jc w:val="both"/>
    </w:pPr>
    <w:rPr>
      <w:rFonts w:ascii="Calibri" w:eastAsia="宋体" w:cs="Arial" w:hAnsi="Calibri"/>
      <w:kern w:val="2"/>
      <w:sz w:val="21"/>
      <w:szCs w:val="22"/>
      <w:lang w:val="en-US" w:eastAsia="zh-CN" w:bidi="ar-SA"/>
    </w:rPr>
  </w:style>
  <w:style w:type="paragraph" w:customStyle="1" w:styleId="46">
    <w:name w:val="样式 14 10 磅"/>
    <w:pPr>
      <w:widowControl w:val="0"/>
      <w:jc w:val="both"/>
    </w:pPr>
    <w:rPr>
      <w:rFonts w:ascii="Calibri" w:eastAsia="宋体" w:cs="Arial" w:hAnsi="Calibri"/>
      <w:kern w:val="2"/>
      <w:sz w:val="21"/>
      <w:szCs w:val="22"/>
      <w:lang w:val="en-US" w:eastAsia="zh-CN" w:bidi="ar-SA"/>
    </w:rPr>
  </w:style>
  <w:style w:type="paragraph" w:customStyle="1" w:styleId="47">
    <w:name w:val="样式 15 10 磅"/>
    <w:pPr>
      <w:widowControl w:val="0"/>
      <w:jc w:val="both"/>
    </w:pPr>
    <w:rPr>
      <w:rFonts w:ascii="Calibri" w:eastAsia="宋体" w:cs="Arial" w:hAnsi="Calibri"/>
      <w:kern w:val="2"/>
      <w:sz w:val="21"/>
      <w:szCs w:val="22"/>
      <w:lang w:val="en-US" w:eastAsia="zh-CN" w:bidi="ar-SA"/>
    </w:rPr>
  </w:style>
  <w:style w:type="paragraph" w:customStyle="1" w:styleId="48">
    <w:name w:val="样式 16 10 磅"/>
    <w:pPr>
      <w:widowControl w:val="0"/>
      <w:jc w:val="both"/>
    </w:pPr>
    <w:rPr>
      <w:rFonts w:ascii="Calibri" w:eastAsia="宋体" w:cs="Arial" w:hAnsi="Calibri"/>
      <w:kern w:val="2"/>
      <w:sz w:val="21"/>
      <w:szCs w:val="22"/>
      <w:lang w:val="en-US" w:eastAsia="zh-CN" w:bidi="ar-SA"/>
    </w:rPr>
  </w:style>
  <w:style w:type="paragraph" w:customStyle="1" w:styleId="49">
    <w:name w:val="样式 17 10 磅"/>
    <w:pPr>
      <w:widowControl w:val="0"/>
      <w:jc w:val="both"/>
    </w:pPr>
    <w:rPr>
      <w:rFonts w:ascii="Calibri" w:eastAsia="宋体" w:cs="Arial" w:hAnsi="Calibri"/>
      <w:kern w:val="2"/>
      <w:sz w:val="21"/>
      <w:szCs w:val="22"/>
      <w:lang w:val="en-US" w:eastAsia="zh-CN" w:bidi="ar-SA"/>
    </w:rPr>
  </w:style>
  <w:style w:type="paragraph" w:customStyle="1" w:styleId="50">
    <w:name w:val="样式 18 10 磅"/>
    <w:pPr>
      <w:widowControl w:val="0"/>
      <w:jc w:val="both"/>
    </w:pPr>
    <w:rPr>
      <w:rFonts w:ascii="Calibri" w:eastAsia="宋体" w:cs="Arial" w:hAnsi="Calibri"/>
      <w:kern w:val="2"/>
      <w:sz w:val="21"/>
      <w:szCs w:val="22"/>
      <w:lang w:val="en-US" w:eastAsia="zh-CN" w:bidi="ar-SA"/>
    </w:rPr>
  </w:style>
  <w:style w:type="paragraph" w:customStyle="1" w:styleId="51">
    <w:name w:val="样式 19 10 磅"/>
    <w:pPr>
      <w:widowControl w:val="0"/>
      <w:jc w:val="both"/>
    </w:pPr>
    <w:rPr>
      <w:rFonts w:ascii="Calibri" w:eastAsia="宋体" w:cs="Arial" w:hAnsi="Calibri"/>
      <w:kern w:val="2"/>
      <w:sz w:val="21"/>
      <w:szCs w:val="22"/>
      <w:lang w:val="en-US" w:eastAsia="zh-CN" w:bidi="ar-SA"/>
    </w:rPr>
  </w:style>
  <w:style w:type="paragraph" w:customStyle="1" w:styleId="52">
    <w:name w:val="样式 20 10 磅"/>
    <w:pPr>
      <w:widowControl w:val="0"/>
      <w:jc w:val="both"/>
    </w:pPr>
    <w:rPr>
      <w:rFonts w:ascii="Calibri" w:eastAsia="宋体" w:cs="Arial" w:hAnsi="Calibri"/>
      <w:kern w:val="2"/>
      <w:sz w:val="21"/>
      <w:szCs w:val="22"/>
      <w:lang w:val="en-US" w:eastAsia="zh-CN" w:bidi="ar-SA"/>
    </w:rPr>
  </w:style>
  <w:style w:type="paragraph" w:customStyle="1" w:styleId="53">
    <w:name w:val="样式 21 10 磅"/>
    <w:pPr>
      <w:widowControl w:val="0"/>
      <w:jc w:val="both"/>
    </w:pPr>
    <w:rPr>
      <w:rFonts w:ascii="Calibri" w:eastAsia="宋体" w:cs="Arial" w:hAnsi="Calibri"/>
      <w:kern w:val="2"/>
      <w:sz w:val="21"/>
      <w:szCs w:val="22"/>
      <w:lang w:val="en-US" w:eastAsia="zh-CN" w:bidi="ar-SA"/>
    </w:rPr>
  </w:style>
  <w:style w:type="paragraph" w:customStyle="1" w:styleId="54">
    <w:name w:val="样式 22 10 磅"/>
    <w:pPr>
      <w:widowControl w:val="0"/>
      <w:jc w:val="both"/>
    </w:pPr>
    <w:rPr>
      <w:rFonts w:ascii="Calibri" w:eastAsia="宋体" w:cs="Arial" w:hAnsi="Calibri"/>
      <w:kern w:val="2"/>
      <w:sz w:val="21"/>
      <w:szCs w:val="22"/>
      <w:lang w:val="en-US" w:eastAsia="zh-CN" w:bidi="ar-SA"/>
    </w:rPr>
  </w:style>
  <w:style w:type="paragraph" w:customStyle="1" w:styleId="55">
    <w:name w:val="样式 23 10 磅"/>
    <w:pPr>
      <w:widowControl w:val="0"/>
      <w:jc w:val="both"/>
    </w:pPr>
    <w:rPr>
      <w:rFonts w:ascii="Calibri" w:eastAsia="宋体" w:cs="Arial" w:hAnsi="Calibri"/>
      <w:kern w:val="2"/>
      <w:sz w:val="21"/>
      <w:szCs w:val="22"/>
      <w:lang w:val="en-US" w:eastAsia="zh-CN" w:bidi="ar-SA"/>
    </w:rPr>
  </w:style>
  <w:style w:type="paragraph" w:customStyle="1" w:styleId="56">
    <w:name w:val="样式 24 10 磅"/>
    <w:pPr>
      <w:widowControl w:val="0"/>
      <w:jc w:val="both"/>
    </w:pPr>
    <w:rPr>
      <w:rFonts w:ascii="Calibri" w:eastAsia="宋体" w:cs="Arial" w:hAnsi="Calibri"/>
      <w:kern w:val="2"/>
      <w:sz w:val="21"/>
      <w:szCs w:val="22"/>
      <w:lang w:val="en-US" w:eastAsia="zh-CN" w:bidi="ar-SA"/>
    </w:rPr>
  </w:style>
  <w:style w:type="paragraph" w:customStyle="1" w:styleId="57">
    <w:name w:val="样式 25 10 磅"/>
    <w:pPr>
      <w:widowControl w:val="0"/>
      <w:jc w:val="both"/>
    </w:pPr>
    <w:rPr>
      <w:rFonts w:ascii="Calibri" w:eastAsia="宋体" w:cs="Arial" w:hAnsi="Calibri"/>
      <w:kern w:val="2"/>
      <w:sz w:val="21"/>
      <w:szCs w:val="22"/>
      <w:lang w:val="en-US" w:eastAsia="zh-CN" w:bidi="ar-SA"/>
    </w:rPr>
  </w:style>
  <w:style w:type="paragraph" w:customStyle="1" w:styleId="58">
    <w:name w:val="样式 26 10 磅"/>
    <w:pPr>
      <w:widowControl w:val="0"/>
      <w:jc w:val="both"/>
    </w:pPr>
    <w:rPr>
      <w:rFonts w:ascii="Calibri" w:eastAsia="宋体" w:cs="Arial" w:hAnsi="Calibri"/>
      <w:kern w:val="2"/>
      <w:sz w:val="21"/>
      <w:szCs w:val="22"/>
      <w:lang w:val="en-US" w:eastAsia="zh-CN" w:bidi="ar-SA"/>
    </w:rPr>
  </w:style>
  <w:style w:type="paragraph" w:customStyle="1" w:styleId="59">
    <w:name w:val="样式 27 10 磅"/>
    <w:pPr>
      <w:widowControl w:val="0"/>
      <w:jc w:val="both"/>
    </w:pPr>
    <w:rPr>
      <w:rFonts w:ascii="Calibri" w:eastAsia="宋体" w:cs="Arial" w:hAnsi="Calibri"/>
      <w:kern w:val="2"/>
      <w:sz w:val="21"/>
      <w:szCs w:val="22"/>
      <w:lang w:val="en-US" w:eastAsia="zh-CN" w:bidi="ar-SA"/>
    </w:rPr>
  </w:style>
  <w:style w:type="paragraph" w:customStyle="1" w:styleId="60">
    <w:name w:val="样式 28 10 磅"/>
    <w:pPr>
      <w:widowControl w:val="0"/>
      <w:jc w:val="both"/>
    </w:pPr>
    <w:rPr>
      <w:rFonts w:ascii="Calibri" w:eastAsia="宋体" w:cs="Arial" w:hAnsi="Calibri"/>
      <w:kern w:val="2"/>
      <w:sz w:val="21"/>
      <w:szCs w:val="22"/>
      <w:lang w:val="en-US" w:eastAsia="zh-CN" w:bidi="ar-SA"/>
    </w:rPr>
  </w:style>
  <w:style w:type="paragraph" w:customStyle="1" w:styleId="61">
    <w:name w:val="样式 29 10 磅"/>
    <w:pPr>
      <w:widowControl w:val="0"/>
      <w:jc w:val="both"/>
    </w:pPr>
    <w:rPr>
      <w:rFonts w:ascii="Calibri" w:eastAsia="宋体" w:cs="Arial" w:hAnsi="Calibri"/>
      <w:kern w:val="2"/>
      <w:sz w:val="21"/>
      <w:szCs w:val="22"/>
      <w:lang w:val="en-US" w:eastAsia="zh-CN" w:bidi="ar-SA"/>
    </w:rPr>
  </w:style>
  <w:style w:type="paragraph" w:customStyle="1" w:styleId="62">
    <w:name w:val="样式 30 10 磅"/>
    <w:pPr>
      <w:widowControl w:val="0"/>
      <w:jc w:val="both"/>
    </w:pPr>
    <w:rPr>
      <w:rFonts w:ascii="Calibri" w:eastAsia="宋体" w:cs="Arial" w:hAnsi="Calibri"/>
      <w:kern w:val="2"/>
      <w:sz w:val="21"/>
      <w:szCs w:val="22"/>
      <w:lang w:val="en-US" w:eastAsia="zh-CN" w:bidi="ar-SA"/>
    </w:rPr>
  </w:style>
  <w:style w:type="paragraph" w:customStyle="1" w:styleId="63">
    <w:name w:val="样式 31 10 磅"/>
    <w:pPr>
      <w:widowControl w:val="0"/>
      <w:jc w:val="both"/>
    </w:pPr>
    <w:rPr>
      <w:rFonts w:ascii="Calibri" w:eastAsia="宋体" w:cs="Arial" w:hAnsi="Calibri"/>
      <w:kern w:val="2"/>
      <w:sz w:val="21"/>
      <w:szCs w:val="22"/>
      <w:lang w:val="en-US" w:eastAsia="zh-CN" w:bidi="ar-SA"/>
    </w:rPr>
  </w:style>
  <w:style w:type="paragraph" w:customStyle="1" w:styleId="64">
    <w:name w:val="样式 32 10 磅"/>
    <w:pPr>
      <w:widowControl w:val="0"/>
      <w:jc w:val="both"/>
    </w:pPr>
    <w:rPr>
      <w:rFonts w:ascii="Calibri" w:eastAsia="宋体" w:cs="Arial" w:hAnsi="Calibri"/>
      <w:kern w:val="2"/>
      <w:sz w:val="21"/>
      <w:szCs w:val="22"/>
      <w:lang w:val="en-US" w:eastAsia="zh-CN" w:bidi="ar-SA"/>
    </w:rPr>
  </w:style>
  <w:style w:type="paragraph" w:customStyle="1" w:styleId="65">
    <w:name w:val="样式 33 10 磅"/>
    <w:pPr>
      <w:widowControl w:val="0"/>
      <w:jc w:val="both"/>
    </w:pPr>
    <w:rPr>
      <w:rFonts w:ascii="Calibri" w:eastAsia="宋体" w:cs="Arial" w:hAnsi="Calibri"/>
      <w:kern w:val="2"/>
      <w:sz w:val="21"/>
      <w:szCs w:val="22"/>
      <w:lang w:val="en-US" w:eastAsia="zh-CN" w:bidi="ar-SA"/>
    </w:rPr>
  </w:style>
  <w:style w:type="paragraph" w:customStyle="1" w:styleId="66">
    <w:name w:val="样式 34 10 磅"/>
    <w:pPr>
      <w:widowControl w:val="0"/>
      <w:jc w:val="both"/>
    </w:pPr>
    <w:rPr>
      <w:rFonts w:ascii="Calibri" w:eastAsia="宋体" w:cs="Arial" w:hAnsi="Calibri"/>
      <w:kern w:val="2"/>
      <w:sz w:val="21"/>
      <w:szCs w:val="22"/>
      <w:lang w:val="en-US" w:eastAsia="zh-CN" w:bidi="ar-SA"/>
    </w:rPr>
  </w:style>
  <w:style w:type="paragraph" w:customStyle="1" w:styleId="67">
    <w:name w:val="样式 35 10 磅"/>
    <w:pPr>
      <w:widowControl w:val="0"/>
      <w:jc w:val="both"/>
    </w:pPr>
    <w:rPr>
      <w:rFonts w:ascii="Calibri" w:eastAsia="宋体" w:cs="Arial" w:hAnsi="Calibri"/>
      <w:kern w:val="2"/>
      <w:sz w:val="21"/>
      <w:szCs w:val="22"/>
      <w:lang w:val="en-US" w:eastAsia="zh-CN" w:bidi="ar-SA"/>
    </w:rPr>
  </w:style>
  <w:style w:type="paragraph" w:customStyle="1" w:styleId="68">
    <w:name w:val="样式 37 10 磅"/>
    <w:pPr>
      <w:widowControl w:val="0"/>
      <w:jc w:val="both"/>
    </w:pPr>
    <w:rPr>
      <w:rFonts w:ascii="Calibri" w:eastAsia="宋体" w:cs="Arial" w:hAnsi="Calibri"/>
      <w:kern w:val="2"/>
      <w:sz w:val="21"/>
      <w:szCs w:val="22"/>
      <w:lang w:val="en-US" w:eastAsia="zh-CN" w:bidi="ar-SA"/>
    </w:rPr>
  </w:style>
  <w:style w:type="paragraph" w:customStyle="1" w:styleId="69">
    <w:name w:val="样式 38 10 磅"/>
    <w:pPr>
      <w:widowControl w:val="0"/>
      <w:jc w:val="both"/>
    </w:pPr>
    <w:rPr>
      <w:rFonts w:ascii="Calibri" w:eastAsia="宋体" w:cs="Arial" w:hAnsi="Calibri"/>
      <w:kern w:val="2"/>
      <w:sz w:val="21"/>
      <w:szCs w:val="22"/>
      <w:lang w:val="en-US" w:eastAsia="zh-CN" w:bidi="ar-SA"/>
    </w:rPr>
  </w:style>
  <w:style w:type="paragraph" w:customStyle="1" w:styleId="70">
    <w:name w:val="样式 39 10 磅"/>
    <w:pPr>
      <w:widowControl w:val="0"/>
      <w:jc w:val="both"/>
    </w:pPr>
    <w:rPr>
      <w:rFonts w:ascii="Calibri" w:eastAsia="宋体" w:cs="Arial" w:hAnsi="Calibri"/>
      <w:kern w:val="2"/>
      <w:sz w:val="21"/>
      <w:szCs w:val="22"/>
      <w:lang w:val="en-US" w:eastAsia="zh-CN" w:bidi="ar-SA"/>
    </w:rPr>
  </w:style>
  <w:style w:type="paragraph" w:customStyle="1" w:styleId="71">
    <w:name w:val="样式 40 10 磅"/>
    <w:pPr>
      <w:widowControl w:val="0"/>
      <w:jc w:val="both"/>
    </w:pPr>
    <w:rPr>
      <w:rFonts w:ascii="Calibri" w:eastAsia="宋体" w:cs="Arial" w:hAnsi="Calibri"/>
      <w:kern w:val="2"/>
      <w:sz w:val="21"/>
      <w:szCs w:val="22"/>
      <w:lang w:val="en-US" w:eastAsia="zh-CN" w:bidi="ar-SA"/>
    </w:rPr>
  </w:style>
  <w:style w:type="paragraph" w:customStyle="1" w:styleId="72">
    <w:name w:val="样式 41 10 磅"/>
    <w:pPr>
      <w:widowControl w:val="0"/>
      <w:jc w:val="both"/>
    </w:pPr>
    <w:rPr>
      <w:rFonts w:ascii="Calibri" w:eastAsia="宋体" w:cs="Arial" w:hAnsi="Calibri"/>
      <w:kern w:val="2"/>
      <w:sz w:val="21"/>
      <w:szCs w:val="22"/>
      <w:lang w:val="en-US" w:eastAsia="zh-CN" w:bidi="ar-SA"/>
    </w:rPr>
  </w:style>
  <w:style w:type="paragraph" w:customStyle="1" w:styleId="73">
    <w:name w:val="样式 42 10 磅"/>
    <w:pPr>
      <w:widowControl w:val="0"/>
      <w:jc w:val="both"/>
    </w:pPr>
    <w:rPr>
      <w:rFonts w:ascii="Calibri" w:eastAsia="宋体" w:cs="Arial" w:hAnsi="Calibri"/>
      <w:kern w:val="2"/>
      <w:sz w:val="21"/>
      <w:szCs w:val="22"/>
      <w:lang w:val="en-US" w:eastAsia="zh-CN" w:bidi="ar-SA"/>
    </w:rPr>
  </w:style>
  <w:style w:type="paragraph" w:customStyle="1" w:styleId="74">
    <w:name w:val="样式 43 10 磅"/>
    <w:pPr>
      <w:widowControl w:val="0"/>
      <w:jc w:val="both"/>
    </w:pPr>
    <w:rPr>
      <w:rFonts w:ascii="Calibri" w:eastAsia="宋体" w:cs="Arial" w:hAnsi="Calibri"/>
      <w:kern w:val="2"/>
      <w:sz w:val="21"/>
      <w:szCs w:val="22"/>
      <w:lang w:val="en-US" w:eastAsia="zh-CN" w:bidi="ar-SA"/>
    </w:rPr>
  </w:style>
  <w:style w:type="paragraph" w:customStyle="1" w:styleId="75">
    <w:name w:val="样式 44 10 磅"/>
    <w:pPr>
      <w:widowControl w:val="0"/>
      <w:jc w:val="both"/>
    </w:pPr>
    <w:rPr>
      <w:rFonts w:ascii="Calibri" w:eastAsia="宋体" w:cs="Arial" w:hAnsi="Calibri"/>
      <w:kern w:val="2"/>
      <w:sz w:val="21"/>
      <w:szCs w:val="22"/>
      <w:lang w:val="en-US" w:eastAsia="zh-CN" w:bidi="ar-SA"/>
    </w:rPr>
  </w:style>
  <w:style w:type="paragraph" w:customStyle="1" w:styleId="76">
    <w:name w:val="样式 45 10 磅"/>
    <w:pPr>
      <w:widowControl w:val="0"/>
      <w:jc w:val="both"/>
    </w:pPr>
    <w:rPr>
      <w:rFonts w:ascii="Calibri" w:eastAsia="宋体" w:cs="Arial" w:hAnsi="Calibri"/>
      <w:kern w:val="2"/>
      <w:sz w:val="21"/>
      <w:szCs w:val="22"/>
      <w:lang w:val="en-US" w:eastAsia="zh-CN" w:bidi="ar-SA"/>
    </w:rPr>
  </w:style>
  <w:style w:type="paragraph" w:customStyle="1" w:styleId="77">
    <w:name w:val="样式 46 10 磅"/>
    <w:pPr>
      <w:widowControl w:val="0"/>
      <w:jc w:val="both"/>
    </w:pPr>
    <w:rPr>
      <w:rFonts w:ascii="Calibri" w:eastAsia="宋体" w:cs="Arial" w:hAnsi="Calibri"/>
      <w:kern w:val="2"/>
      <w:sz w:val="21"/>
      <w:szCs w:val="22"/>
      <w:lang w:val="en-US" w:eastAsia="zh-CN" w:bidi="ar-SA"/>
    </w:rPr>
  </w:style>
  <w:style w:type="paragraph" w:customStyle="1" w:styleId="78">
    <w:name w:val="样式 47 10 磅"/>
    <w:pPr>
      <w:widowControl w:val="0"/>
      <w:jc w:val="both"/>
    </w:pPr>
    <w:rPr>
      <w:rFonts w:ascii="Calibri" w:eastAsia="宋体" w:cs="Arial" w:hAnsi="Calibri"/>
      <w:kern w:val="2"/>
      <w:sz w:val="21"/>
      <w:szCs w:val="22"/>
      <w:lang w:val="en-US" w:eastAsia="zh-CN" w:bidi="ar-SA"/>
    </w:rPr>
  </w:style>
  <w:style w:type="paragraph" w:customStyle="1" w:styleId="79">
    <w:name w:val="样式 48 10 磅"/>
    <w:pPr>
      <w:widowControl w:val="0"/>
      <w:jc w:val="both"/>
    </w:pPr>
    <w:rPr>
      <w:rFonts w:ascii="Calibri" w:eastAsia="宋体" w:cs="Arial" w:hAnsi="Calibri"/>
      <w:kern w:val="2"/>
      <w:sz w:val="21"/>
      <w:szCs w:val="22"/>
      <w:lang w:val="en-US" w:eastAsia="zh-CN" w:bidi="ar-SA"/>
    </w:rPr>
  </w:style>
  <w:style w:type="paragraph" w:customStyle="1" w:styleId="80">
    <w:name w:val="样式 50 10 磅"/>
    <w:pPr>
      <w:widowControl w:val="0"/>
      <w:jc w:val="both"/>
    </w:pPr>
    <w:rPr>
      <w:rFonts w:ascii="Calibri" w:eastAsia="宋体" w:cs="Arial" w:hAnsi="Calibri"/>
      <w:kern w:val="2"/>
      <w:sz w:val="21"/>
      <w:szCs w:val="22"/>
      <w:lang w:val="en-US" w:eastAsia="zh-CN" w:bidi="ar-SA"/>
    </w:rPr>
  </w:style>
  <w:style w:type="paragraph" w:customStyle="1" w:styleId="81">
    <w:name w:val="样式 52 10 磅"/>
    <w:pPr>
      <w:widowControl w:val="0"/>
      <w:jc w:val="both"/>
    </w:pPr>
    <w:rPr>
      <w:rFonts w:ascii="Calibri" w:eastAsia="宋体" w:cs="Arial" w:hAnsi="Calibri"/>
      <w:kern w:val="2"/>
      <w:sz w:val="21"/>
      <w:szCs w:val="22"/>
      <w:lang w:val="en-US" w:eastAsia="zh-CN" w:bidi="ar-SA"/>
    </w:rPr>
  </w:style>
  <w:style w:type="paragraph" w:customStyle="1" w:styleId="82">
    <w:name w:val="样式 53 10 磅"/>
    <w:pPr>
      <w:widowControl w:val="0"/>
      <w:jc w:val="both"/>
    </w:pPr>
    <w:rPr>
      <w:rFonts w:ascii="Calibri" w:eastAsia="宋体" w:cs="Arial" w:hAnsi="Calibri"/>
      <w:kern w:val="2"/>
      <w:sz w:val="21"/>
      <w:szCs w:val="22"/>
      <w:lang w:val="en-US" w:eastAsia="zh-CN" w:bidi="ar-SA"/>
    </w:rPr>
  </w:style>
  <w:style w:type="paragraph" w:customStyle="1" w:styleId="83">
    <w:name w:val="样式 54 10 磅"/>
    <w:pPr>
      <w:widowControl w:val="0"/>
      <w:jc w:val="both"/>
    </w:pPr>
    <w:rPr>
      <w:rFonts w:ascii="Calibri" w:eastAsia="宋体" w:cs="Arial" w:hAnsi="Calibri"/>
      <w:kern w:val="2"/>
      <w:sz w:val="21"/>
      <w:szCs w:val="22"/>
      <w:lang w:val="en-US" w:eastAsia="zh-CN" w:bidi="ar-SA"/>
    </w:rPr>
  </w:style>
  <w:style w:type="paragraph" w:customStyle="1" w:styleId="84">
    <w:name w:val="样式 55 10 磅"/>
    <w:pPr>
      <w:widowControl w:val="0"/>
      <w:jc w:val="both"/>
    </w:pPr>
    <w:rPr>
      <w:rFonts w:ascii="Calibri" w:eastAsia="宋体" w:cs="Arial" w:hAnsi="Calibri"/>
      <w:kern w:val="2"/>
      <w:sz w:val="21"/>
      <w:szCs w:val="22"/>
      <w:lang w:val="en-US" w:eastAsia="zh-CN" w:bidi="ar-SA"/>
    </w:rPr>
  </w:style>
  <w:style w:type="paragraph" w:customStyle="1" w:styleId="85">
    <w:name w:val="样式 56 10 磅"/>
    <w:pPr>
      <w:widowControl w:val="0"/>
      <w:jc w:val="both"/>
    </w:pPr>
    <w:rPr>
      <w:rFonts w:ascii="Calibri" w:eastAsia="宋体" w:cs="Arial" w:hAnsi="Calibri"/>
      <w:kern w:val="2"/>
      <w:sz w:val="21"/>
      <w:szCs w:val="22"/>
      <w:lang w:val="en-US" w:eastAsia="zh-CN" w:bidi="ar-SA"/>
    </w:rPr>
  </w:style>
  <w:style w:type="paragraph" w:customStyle="1" w:styleId="86">
    <w:name w:val="样式 57 10 磅"/>
    <w:pPr>
      <w:widowControl w:val="0"/>
      <w:jc w:val="both"/>
    </w:pPr>
    <w:rPr>
      <w:rFonts w:ascii="Calibri" w:eastAsia="宋体" w:cs="Arial" w:hAnsi="Calibri"/>
      <w:kern w:val="2"/>
      <w:sz w:val="21"/>
      <w:szCs w:val="22"/>
      <w:lang w:val="en-US" w:eastAsia="zh-CN" w:bidi="ar-SA"/>
    </w:rPr>
  </w:style>
  <w:style w:type="paragraph" w:customStyle="1" w:styleId="87">
    <w:name w:val="样式 58 10 磅"/>
    <w:pPr>
      <w:widowControl w:val="0"/>
      <w:jc w:val="both"/>
    </w:pPr>
    <w:rPr>
      <w:rFonts w:ascii="Calibri" w:eastAsia="宋体" w:cs="Arial" w:hAnsi="Calibri"/>
      <w:kern w:val="2"/>
      <w:sz w:val="21"/>
      <w:szCs w:val="22"/>
      <w:lang w:val="en-US" w:eastAsia="zh-CN" w:bidi="ar-SA"/>
    </w:rPr>
  </w:style>
  <w:style w:type="paragraph" w:customStyle="1" w:styleId="88">
    <w:name w:val="样式 59 10 磅"/>
    <w:pPr>
      <w:widowControl w:val="0"/>
      <w:jc w:val="both"/>
    </w:pPr>
    <w:rPr>
      <w:rFonts w:ascii="Calibri" w:eastAsia="宋体" w:cs="Arial" w:hAnsi="Calibri"/>
      <w:kern w:val="2"/>
      <w:sz w:val="21"/>
      <w:szCs w:val="22"/>
      <w:lang w:val="en-US" w:eastAsia="zh-CN" w:bidi="ar-SA"/>
    </w:rPr>
  </w:style>
  <w:style w:type="paragraph" w:customStyle="1" w:styleId="89">
    <w:name w:val="样式 60 10 磅"/>
    <w:pPr>
      <w:widowControl w:val="0"/>
      <w:jc w:val="both"/>
    </w:pPr>
    <w:rPr>
      <w:rFonts w:ascii="Calibri" w:eastAsia="宋体" w:cs="Arial" w:hAnsi="Calibri"/>
      <w:kern w:val="2"/>
      <w:sz w:val="21"/>
      <w:szCs w:val="22"/>
      <w:lang w:val="en-US" w:eastAsia="zh-CN" w:bidi="ar-SA"/>
    </w:rPr>
  </w:style>
  <w:style w:type="paragraph" w:customStyle="1" w:styleId="90">
    <w:name w:val="样式 61 10 磅"/>
    <w:pPr>
      <w:widowControl w:val="0"/>
      <w:jc w:val="both"/>
    </w:pPr>
    <w:rPr>
      <w:rFonts w:ascii="Calibri" w:eastAsia="宋体" w:cs="Arial" w:hAnsi="Calibri"/>
      <w:kern w:val="2"/>
      <w:sz w:val="21"/>
      <w:szCs w:val="22"/>
      <w:lang w:val="en-US" w:eastAsia="zh-CN" w:bidi="ar-SA"/>
    </w:rPr>
  </w:style>
  <w:style w:type="paragraph" w:customStyle="1" w:styleId="91">
    <w:name w:val="样式 62 10 磅"/>
    <w:pPr>
      <w:widowControl w:val="0"/>
      <w:jc w:val="both"/>
    </w:pPr>
    <w:rPr>
      <w:rFonts w:ascii="Calibri" w:eastAsia="宋体" w:cs="Arial" w:hAnsi="Calibri"/>
      <w:kern w:val="2"/>
      <w:sz w:val="21"/>
      <w:szCs w:val="22"/>
      <w:lang w:val="en-US" w:eastAsia="zh-CN" w:bidi="ar-SA"/>
    </w:rPr>
  </w:style>
  <w:style w:type="paragraph" w:customStyle="1" w:styleId="92">
    <w:name w:val="样式 63 10 磅"/>
    <w:pPr>
      <w:widowControl w:val="0"/>
      <w:jc w:val="both"/>
    </w:pPr>
    <w:rPr>
      <w:rFonts w:ascii="Calibri" w:eastAsia="宋体" w:cs="Arial" w:hAnsi="Calibri"/>
      <w:kern w:val="2"/>
      <w:sz w:val="21"/>
      <w:szCs w:val="22"/>
      <w:lang w:val="en-US" w:eastAsia="zh-CN" w:bidi="ar-SA"/>
    </w:rPr>
  </w:style>
  <w:style w:type="paragraph" w:customStyle="1" w:styleId="93">
    <w:name w:val="样式 64 10 磅"/>
    <w:pPr>
      <w:widowControl w:val="0"/>
      <w:jc w:val="both"/>
    </w:pPr>
    <w:rPr>
      <w:rFonts w:ascii="Calibri" w:eastAsia="宋体" w:cs="Arial" w:hAnsi="Calibri"/>
      <w:kern w:val="2"/>
      <w:sz w:val="21"/>
      <w:szCs w:val="22"/>
      <w:lang w:val="en-US" w:eastAsia="zh-CN" w:bidi="ar-SA"/>
    </w:rPr>
  </w:style>
  <w:style w:type="paragraph" w:customStyle="1" w:styleId="94">
    <w:name w:val="样式 65 10 磅"/>
    <w:pPr>
      <w:widowControl w:val="0"/>
      <w:jc w:val="both"/>
    </w:pPr>
    <w:rPr>
      <w:rFonts w:ascii="Calibri" w:eastAsia="宋体" w:cs="Arial" w:hAnsi="Calibri"/>
      <w:kern w:val="2"/>
      <w:sz w:val="21"/>
      <w:szCs w:val="22"/>
      <w:lang w:val="en-US" w:eastAsia="zh-CN" w:bidi="ar-SA"/>
    </w:rPr>
  </w:style>
  <w:style w:type="paragraph" w:customStyle="1" w:styleId="95">
    <w:name w:val="样式 66 10 磅"/>
    <w:pPr>
      <w:widowControl w:val="0"/>
      <w:jc w:val="both"/>
    </w:pPr>
    <w:rPr>
      <w:rFonts w:ascii="Calibri" w:eastAsia="宋体" w:cs="Arial" w:hAnsi="Calibri"/>
      <w:kern w:val="2"/>
      <w:sz w:val="21"/>
      <w:szCs w:val="22"/>
      <w:lang w:val="en-US" w:eastAsia="zh-CN" w:bidi="ar-SA"/>
    </w:rPr>
  </w:style>
  <w:style w:type="paragraph" w:customStyle="1" w:styleId="96">
    <w:name w:val="样式 67 10 磅"/>
    <w:pPr>
      <w:widowControl w:val="0"/>
      <w:jc w:val="both"/>
    </w:pPr>
    <w:rPr>
      <w:rFonts w:ascii="Calibri" w:eastAsia="宋体" w:cs="Arial" w:hAnsi="Calibri"/>
      <w:kern w:val="2"/>
      <w:sz w:val="21"/>
      <w:szCs w:val="22"/>
      <w:lang w:val="en-US" w:eastAsia="zh-CN" w:bidi="ar-SA"/>
    </w:rPr>
  </w:style>
  <w:style w:type="paragraph" w:customStyle="1" w:styleId="97">
    <w:name w:val="样式 68 10 磅"/>
    <w:pPr>
      <w:widowControl w:val="0"/>
      <w:jc w:val="both"/>
    </w:pPr>
    <w:rPr>
      <w:rFonts w:ascii="Calibri" w:eastAsia="宋体" w:cs="Arial" w:hAnsi="Calibri"/>
      <w:kern w:val="2"/>
      <w:sz w:val="21"/>
      <w:szCs w:val="22"/>
      <w:lang w:val="en-US" w:eastAsia="zh-CN" w:bidi="ar-SA"/>
    </w:rPr>
  </w:style>
  <w:style w:type="paragraph" w:customStyle="1" w:styleId="98">
    <w:name w:val="样式 69 10 磅"/>
    <w:pPr>
      <w:widowControl w:val="0"/>
      <w:jc w:val="both"/>
    </w:pPr>
    <w:rPr>
      <w:rFonts w:ascii="Calibri" w:eastAsia="宋体" w:cs="Arial" w:hAnsi="Calibri"/>
      <w:kern w:val="2"/>
      <w:sz w:val="21"/>
      <w:szCs w:val="22"/>
      <w:lang w:val="en-US" w:eastAsia="zh-CN" w:bidi="ar-SA"/>
    </w:rPr>
  </w:style>
  <w:style w:type="paragraph" w:customStyle="1" w:styleId="99">
    <w:name w:val="样式 70 10 磅"/>
    <w:pPr>
      <w:widowControl w:val="0"/>
      <w:jc w:val="both"/>
    </w:pPr>
    <w:rPr>
      <w:rFonts w:ascii="Calibri" w:eastAsia="宋体" w:cs="Arial" w:hAnsi="Calibri"/>
      <w:kern w:val="2"/>
      <w:sz w:val="21"/>
      <w:szCs w:val="22"/>
      <w:lang w:val="en-US" w:eastAsia="zh-CN" w:bidi="ar-SA"/>
    </w:rPr>
  </w:style>
  <w:style w:type="paragraph" w:customStyle="1" w:styleId="100">
    <w:name w:val="样式 71 10 磅"/>
    <w:pPr>
      <w:widowControl w:val="0"/>
      <w:jc w:val="both"/>
    </w:pPr>
    <w:rPr>
      <w:rFonts w:ascii="Calibri" w:eastAsia="宋体" w:cs="Arial" w:hAnsi="Calibri"/>
      <w:kern w:val="2"/>
      <w:sz w:val="21"/>
      <w:szCs w:val="22"/>
      <w:lang w:val="en-US" w:eastAsia="zh-CN" w:bidi="ar-SA"/>
    </w:rPr>
  </w:style>
  <w:style w:type="paragraph" w:customStyle="1" w:styleId="101">
    <w:name w:val="样式 72 10 磅"/>
    <w:pPr>
      <w:widowControl w:val="0"/>
      <w:jc w:val="both"/>
    </w:pPr>
    <w:rPr>
      <w:rFonts w:ascii="Calibri" w:eastAsia="宋体" w:cs="Arial" w:hAnsi="Calibri"/>
      <w:kern w:val="2"/>
      <w:sz w:val="21"/>
      <w:szCs w:val="22"/>
      <w:lang w:val="en-US" w:eastAsia="zh-CN" w:bidi="ar-SA"/>
    </w:rPr>
  </w:style>
  <w:style w:type="paragraph" w:customStyle="1" w:styleId="102">
    <w:name w:val="样式 73 10 磅"/>
    <w:pPr>
      <w:widowControl w:val="0"/>
      <w:jc w:val="both"/>
    </w:pPr>
    <w:rPr>
      <w:rFonts w:ascii="Calibri" w:eastAsia="宋体" w:cs="Arial" w:hAnsi="Calibri"/>
      <w:kern w:val="2"/>
      <w:sz w:val="21"/>
      <w:szCs w:val="22"/>
      <w:lang w:val="en-US" w:eastAsia="zh-CN" w:bidi="ar-SA"/>
    </w:rPr>
  </w:style>
  <w:style w:type="paragraph" w:customStyle="1" w:styleId="103">
    <w:name w:val="样式 74 10 磅"/>
    <w:pPr>
      <w:widowControl w:val="0"/>
      <w:jc w:val="both"/>
    </w:pPr>
    <w:rPr>
      <w:rFonts w:ascii="Times New Roman" w:eastAsia="宋体" w:cs="Times New Roman" w:hAnsi="Times New Roman"/>
      <w:kern w:val="2"/>
      <w:sz w:val="21"/>
      <w:szCs w:val="21"/>
      <w:lang w:val="en-US" w:eastAsia="zh-CN" w:bidi="ar-SA"/>
    </w:rPr>
  </w:style>
  <w:style w:type="paragraph" w:customStyle="1" w:styleId="104">
    <w:name w:val="样式 75 10 磅"/>
    <w:pPr>
      <w:widowControl w:val="0"/>
      <w:jc w:val="both"/>
    </w:pPr>
    <w:rPr>
      <w:rFonts w:ascii="Times New Roman" w:eastAsia="宋体" w:cs="Times New Roman" w:hAnsi="Times New Roman"/>
      <w:kern w:val="2"/>
      <w:sz w:val="21"/>
      <w:szCs w:val="21"/>
      <w:lang w:val="en-US" w:eastAsia="zh-CN" w:bidi="ar-SA"/>
    </w:rPr>
  </w:style>
  <w:style w:type="paragraph" w:customStyle="1" w:styleId="105">
    <w:name w:val="样式 76 10 磅"/>
    <w:pPr>
      <w:widowControl w:val="0"/>
      <w:jc w:val="both"/>
    </w:pPr>
    <w:rPr>
      <w:rFonts w:ascii="Calibri" w:eastAsia="宋体" w:cs="Arial" w:hAnsi="Calibri"/>
      <w:kern w:val="2"/>
      <w:sz w:val="21"/>
      <w:szCs w:val="22"/>
      <w:lang w:val="en-US" w:eastAsia="zh-CN" w:bidi="ar-SA"/>
    </w:rPr>
  </w:style>
  <w:style w:type="paragraph" w:customStyle="1" w:styleId="106">
    <w:name w:val="样式 77 10 磅"/>
    <w:pPr>
      <w:widowControl w:val="0"/>
      <w:jc w:val="both"/>
    </w:pPr>
    <w:rPr>
      <w:rFonts w:ascii="Calibri" w:eastAsia="宋体" w:cs="Arial" w:hAnsi="Calibri"/>
      <w:kern w:val="2"/>
      <w:sz w:val="21"/>
      <w:szCs w:val="22"/>
      <w:lang w:val="en-US" w:eastAsia="zh-CN" w:bidi="ar-SA"/>
    </w:rPr>
  </w:style>
  <w:style w:type="paragraph" w:customStyle="1" w:styleId="107">
    <w:name w:val="样式 78 10 磅"/>
    <w:pPr>
      <w:widowControl w:val="0"/>
      <w:jc w:val="both"/>
    </w:pPr>
    <w:rPr>
      <w:rFonts w:ascii="Calibri" w:eastAsia="宋体" w:cs="Arial" w:hAnsi="Calibri"/>
      <w:kern w:val="2"/>
      <w:sz w:val="21"/>
      <w:szCs w:val="22"/>
      <w:lang w:val="en-US" w:eastAsia="zh-CN" w:bidi="ar-SA"/>
    </w:rPr>
  </w:style>
  <w:style w:type="paragraph" w:customStyle="1" w:styleId="108">
    <w:name w:val="样式 11 小四"/>
    <w:rPr>
      <w:rFonts w:ascii="Times New Roman" w:eastAsia="宋体" w:cs="Times New Roman" w:hAnsi="Times New Roman"/>
      <w:sz w:val="24"/>
      <w:szCs w:val="24"/>
      <w:lang w:val="en-US" w:eastAsia="en-US" w:bidi="ar-SA"/>
    </w:rPr>
  </w:style>
  <w:style w:type="paragraph" w:customStyle="1" w:styleId="109">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0">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1">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2">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3">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
    <w:name w:val="样式 1 三号"/>
    <w:basedOn w:val="0"/>
    <w:next w:val="19"/>
    <w:rPr>
      <w:rFonts w:ascii="Times New Roman" w:eastAsia="方正仿宋_GBK" w:cs="Times New Roman" w:hAnsi="Times New Roman"/>
      <w:sz w:val="32"/>
      <w:szCs w:val="32"/>
    </w:rPr>
  </w:style>
  <w:style w:type="paragraph" w:customStyle="1" w:styleId="117">
    <w:name w:val="样式 79 10 磅"/>
    <w:pPr>
      <w:widowControl w:val="0"/>
      <w:jc w:val="both"/>
    </w:pPr>
    <w:rPr>
      <w:rFonts w:ascii="Calibri" w:eastAsia="宋体" w:cs="Arial" w:hAnsi="Calibri"/>
      <w:kern w:val="2"/>
      <w:sz w:val="21"/>
      <w:szCs w:val="22"/>
      <w:lang w:val="en-US" w:eastAsia="zh-CN" w:bidi="ar-SA"/>
    </w:rPr>
  </w:style>
  <w:style w:type="paragraph" w:customStyle="1" w:styleId="118">
    <w:name w:val="样式 80 10 磅"/>
    <w:pPr>
      <w:widowControl w:val="0"/>
      <w:jc w:val="both"/>
    </w:pPr>
    <w:rPr>
      <w:rFonts w:ascii="Times New Roman" w:eastAsia="宋体" w:cs="Times New Roman" w:hAnsi="Times New Roman"/>
      <w:kern w:val="2"/>
      <w:sz w:val="21"/>
      <w:szCs w:val="21"/>
      <w:lang w:val="en-US" w:eastAsia="zh-CN" w:bidi="ar-SA"/>
    </w:rPr>
  </w:style>
  <w:style w:type="paragraph" w:customStyle="1" w:styleId="119">
    <w:name w:val="样式 81 10 磅"/>
    <w:pPr>
      <w:widowControl w:val="0"/>
      <w:jc w:val="both"/>
    </w:pPr>
    <w:rPr>
      <w:rFonts w:ascii="Calibri" w:eastAsia="宋体" w:cs="Arial" w:hAnsi="Calibri"/>
      <w:kern w:val="2"/>
      <w:sz w:val="21"/>
      <w:szCs w:val="22"/>
      <w:lang w:val="en-US" w:eastAsia="zh-CN" w:bidi="ar-SA"/>
    </w:rPr>
  </w:style>
  <w:style w:type="paragraph" w:customStyle="1" w:styleId="120">
    <w:name w:val="样式 82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footer" Target="footer2.xml"/><Relationship Id="rId5" Type="http://schemas.openxmlformats.org/officeDocument/2006/relationships/image" Target="media/5.bmp"/><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538</TotalTime>
  <Application>Yozo_Office</Application>
  <Pages>41</Pages>
  <Words>11251</Words>
  <Characters>14058</Characters>
  <Lines>2204</Lines>
  <Paragraphs>1393</Paragraphs>
  <CharactersWithSpaces>14384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马雪晨</cp:lastModifiedBy>
  <cp:revision>2</cp:revision>
  <cp:lastPrinted>2024-05-06T10:53:00Z</cp:lastPrinted>
  <dcterms:created xsi:type="dcterms:W3CDTF">2026-04-24T08:56:00Z</dcterms:created>
  <dcterms:modified xsi:type="dcterms:W3CDTF">2026-05-06T07:23:34Z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C5E897608EFE428DA1BC00378FDC1E15</vt:lpwstr>
  </property>
</Properties>
</file>