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24"/>
        <w:kinsoku/>
        <w:wordWrap/>
        <w:overflowPunct/>
        <w:topLinePunct w:val="0"/>
        <w:autoSpaceDE/>
        <w:autoSpaceDN/>
        <w:spacing w:line="560" w:lineRule="exact"/>
        <w:ind w:firstLineChars="200" w:firstLine="632"/>
        <w:jc w:val="left"/>
        <w:rPr>
          <w:rFonts w:ascii="Times New Roman" w:cs="Arial" w:hAnsi="Times New Roman"/>
          <w:sz w:val="32"/>
          <w:szCs w:val="32"/>
          <w:lang w:bidi="ar-SA"/>
        </w:rPr>
      </w:pPr>
      <w:r>
        <w:rPr>
          <w:rFonts w:ascii="Times New Roman" w:cs="Arial" w:hAnsi="Times New Roman"/>
          <w:sz w:val="32"/>
          <w:szCs w:val="32"/>
          <w:lang w:bidi="ar-SA"/>
        </w:rPr>
        <w:t>2020</w:t>
      </w:r>
      <w:r>
        <w:rPr>
          <w:rFonts w:ascii="Times New Roman" w:eastAsia="方正仿宋_GBK" w:cs="Times New Roman" w:hAnsi="Times New Roman" w:hint="eastAsia"/>
          <w:sz w:val="32"/>
          <w:szCs w:val="32"/>
          <w:lang w:bidi="ar-SA"/>
        </w:rPr>
        <w:t>年是全面建成小康社会和“十三五”规划的收官之年</w:t>
      </w:r>
      <w:r>
        <w:rPr>
          <w:rFonts w:ascii="方正仿宋_GBK" w:eastAsia="方正仿宋_GBK" w:hint="eastAsia"/>
          <w:sz w:val="32"/>
          <w:szCs w:val="32"/>
        </w:rPr>
        <w:t>。</w:t>
      </w:r>
      <w:r>
        <w:rPr>
          <w:rFonts w:ascii="方正仿宋_GBK" w:eastAsia="方正仿宋_GBK"/>
          <w:sz w:val="32"/>
          <w:szCs w:val="32"/>
        </w:rPr>
        <w:t>济南海</w:t>
      </w:r>
      <w:bookmarkStart w:id="0" w:name="_GoBack"/>
      <w:bookmarkEnd w:id="0"/>
      <w:r>
        <w:rPr>
          <w:rFonts w:ascii="方正仿宋_GBK" w:eastAsia="方正仿宋_GBK" w:hint="eastAsia"/>
          <w:sz w:val="32"/>
          <w:szCs w:val="32"/>
        </w:rPr>
        <w:t>关将以习近平新时代中国特色社会主义思想为指导，在总署党委的坚强领导下，坚决</w:t>
      </w:r>
      <w:r>
        <w:rPr>
          <w:rFonts w:ascii="Times New Roman" w:eastAsia="方正仿宋_GBK" w:cs="Times New Roman" w:hAnsi="Times New Roman" w:hint="eastAsia"/>
          <w:sz w:val="32"/>
          <w:szCs w:val="32"/>
          <w:lang w:bidi="ar-SA"/>
        </w:rPr>
        <w:t>落实省委省政府的决策部署，不断深化政治建关、改革强关、依法把关、科技兴关、从严治关，</w:t>
      </w:r>
      <w:r>
        <w:rPr>
          <w:rFonts w:ascii="Times New Roman" w:eastAsia="方正仿宋_GBK" w:cs="Times New Roman" w:hAnsi="Times New Roman"/>
          <w:sz w:val="32"/>
          <w:szCs w:val="32"/>
          <w:lang w:bidi="ar-SA"/>
        </w:rPr>
        <w:t>丰富</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高标准定位、高质量发展</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内涵，</w:t>
      </w:r>
      <w:r>
        <w:rPr>
          <w:rFonts w:ascii="Times New Roman" w:eastAsia="方正仿宋_GBK" w:cs="Times New Roman" w:hAnsi="Times New Roman" w:hint="eastAsia"/>
          <w:sz w:val="32"/>
          <w:szCs w:val="32"/>
          <w:lang w:bidi="ar-SA"/>
        </w:rPr>
        <w:t>持之以恒强化监管优化服务，</w:t>
      </w:r>
      <w:r>
        <w:rPr>
          <w:rFonts w:ascii="方正仿宋_GBK" w:eastAsia="方正仿宋_GBK" w:hint="eastAsia"/>
          <w:sz w:val="32"/>
          <w:szCs w:val="32"/>
        </w:rPr>
        <w:t>靠前站位、主动担当，</w:t>
      </w:r>
      <w:r>
        <w:rPr>
          <w:rFonts w:ascii="Times New Roman" w:eastAsia="方正仿宋_GBK" w:cs="Times New Roman" w:hAnsi="Times New Roman" w:hint="eastAsia"/>
          <w:sz w:val="32"/>
          <w:szCs w:val="32"/>
          <w:lang w:bidi="ar-SA"/>
        </w:rPr>
        <w:t>在山东“走在前列、全面开创”中彰显海关作为。</w:t>
      </w:r>
    </w:p>
    <w:p>
      <w:pPr>
        <w:pStyle w:val="125"/>
        <w:kinsoku/>
        <w:wordWrap/>
        <w:overflowPunct/>
        <w:topLinePunct w:val="0"/>
        <w:autoSpaceDE/>
        <w:autoSpaceDN/>
        <w:spacing w:line="560" w:lineRule="exact"/>
        <w:ind w:firstLineChars="200" w:firstLine="632"/>
        <w:rPr>
          <w:rFonts w:ascii="方正仿宋_GBK" w:eastAsia="方正仿宋_GBK" w:hint="eastAsia"/>
          <w:kern w:val="0"/>
        </w:rPr>
      </w:pPr>
      <w:r>
        <w:rPr>
          <w:rFonts w:ascii="方正仿宋_GBK" w:eastAsia="方正仿宋_GBK" w:hint="eastAsia"/>
          <w:b/>
          <w:bCs/>
          <w:kern w:val="0"/>
        </w:rPr>
        <w:t>一是抓党建</w:t>
      </w:r>
      <w:r>
        <w:rPr>
          <w:rFonts w:ascii="方正仿宋_GBK" w:eastAsia="方正仿宋_GBK" w:hint="eastAsia"/>
          <w:kern w:val="0"/>
        </w:rPr>
        <w:t>。</w:t>
      </w:r>
      <w:r>
        <w:rPr>
          <w:rFonts w:ascii="方正仿宋_GBK" w:eastAsia="方正仿宋_GBK" w:hint="eastAsia"/>
          <w:bCs/>
          <w:kern w:val="0"/>
        </w:rPr>
        <w:t>持续深入学习贯彻习近平新时代中国特色社会主义思想和党的十九届四中全会精神，武装头脑、指导实践、推动工作。</w:t>
      </w:r>
      <w:r>
        <w:rPr>
          <w:rFonts w:ascii="方正仿宋_GBK" w:eastAsia="方正仿宋_GBK" w:hint="eastAsia"/>
          <w:kern w:val="0"/>
        </w:rPr>
        <w:t>推动“不忘初心、牢记使命”主题教育常态化、制度化。落实好意识形态工作责任制。压紧压实两个责任，保持反腐败高压态势，打造清廉海关。打好争创全国文明单位攻坚战，以文明创建提振队伍的精气神。</w:t>
      </w:r>
    </w:p>
    <w:p>
      <w:pPr>
        <w:pStyle w:val="17"/>
        <w:kinsoku/>
        <w:wordWrap/>
        <w:overflowPunct/>
        <w:topLinePunct w:val="0"/>
        <w:autoSpaceDE/>
        <w:autoSpaceDN/>
        <w:spacing w:line="560" w:lineRule="exact"/>
        <w:ind w:left="0" w:firstLineChars="200" w:firstLine="632"/>
        <w:rPr>
          <w:kern w:val="0"/>
        </w:rPr>
      </w:pPr>
      <w:r>
        <w:rPr>
          <w:rFonts w:ascii="Times New Roman" w:eastAsia="方正仿宋_GBK" w:hAnsi="Times New Roman" w:hint="eastAsia"/>
          <w:b/>
          <w:bCs/>
          <w:kern w:val="0"/>
        </w:rPr>
        <w:t>二是稳外贸。</w:t>
      </w:r>
      <w:r>
        <w:rPr>
          <w:rFonts w:ascii="Times New Roman" w:eastAsia="方正仿宋_GBK" w:hAnsi="Times New Roman" w:hint="eastAsia"/>
          <w:kern w:val="0"/>
        </w:rPr>
        <w:t>积极支持扩大进口、促进出口，实现外贸平衡发展。深化“放管服”改革，全面落实海关“改革</w:t>
      </w:r>
      <w:r>
        <w:rPr>
          <w:kern w:val="0"/>
        </w:rPr>
        <w:t>2020</w:t>
      </w:r>
      <w:r>
        <w:rPr>
          <w:rFonts w:ascii="Times New Roman" w:eastAsia="方正仿宋_GBK" w:hAnsi="Times New Roman" w:hint="eastAsia"/>
          <w:kern w:val="0"/>
        </w:rPr>
        <w:t>”设定的目标任务，进一步精简单证，优化压缩通关时间机制，落实减税降费措施，推动口岸营商环境持续向好。妥善应对经贸摩擦，强化统计分析、监测预警，为省委省政府提供准确、及时的数据支持和决策参考。积极推动代表团出访日韩相关成果落实落地，加强与韩国釜山海关、日本大阪海关关际合作，为山东与日韩贸易往来创造更好的环境。</w:t>
      </w:r>
    </w:p>
    <w:p>
      <w:pPr>
        <w:pStyle w:val="17"/>
        <w:kinsoku/>
        <w:wordWrap/>
        <w:overflowPunct/>
        <w:topLinePunct w:val="0"/>
        <w:autoSpaceDE/>
        <w:autoSpaceDN/>
        <w:spacing w:line="560" w:lineRule="exact"/>
        <w:ind w:left="0" w:firstLineChars="200" w:firstLine="632"/>
        <w:rPr>
          <w:kern w:val="0"/>
        </w:rPr>
      </w:pPr>
      <w:r>
        <w:rPr>
          <w:rFonts w:ascii="Times New Roman" w:eastAsia="方正仿宋_GBK" w:hAnsi="Times New Roman" w:hint="eastAsia"/>
          <w:b/>
          <w:bCs/>
          <w:kern w:val="0"/>
        </w:rPr>
        <w:t>三是保安全。</w:t>
      </w:r>
      <w:r>
        <w:rPr>
          <w:rFonts w:ascii="Times New Roman" w:eastAsia="方正仿宋_GBK" w:hAnsi="Times New Roman" w:hint="eastAsia"/>
          <w:kern w:val="0"/>
        </w:rPr>
        <w:t>落实总体国家安全观，完善口岸安全防控体系，有效防范化解重大风险。继续严厉打击洋垃圾走私入境，组织开展“蓝天”专项行动。继续保持打击象牙等濒危物种及其制品走私高压态势，实施全方位、多渠道、立体化监管打击和综合治理。筑牢口岸检疫防线，严防疫病疫情传入传出，强化危化品进出口安全监管。</w:t>
      </w:r>
    </w:p>
    <w:p>
      <w:pPr>
        <w:pStyle w:val="17"/>
        <w:kinsoku/>
        <w:wordWrap/>
        <w:overflowPunct/>
        <w:topLinePunct w:val="0"/>
        <w:autoSpaceDE/>
        <w:autoSpaceDN/>
        <w:spacing w:line="560" w:lineRule="exact"/>
        <w:ind w:left="0" w:firstLineChars="200" w:firstLine="632"/>
      </w:pPr>
      <w:r>
        <w:rPr>
          <w:rFonts w:ascii="Times New Roman" w:eastAsia="方正仿宋_GBK" w:hAnsi="Times New Roman" w:hint="eastAsia"/>
          <w:b/>
          <w:bCs/>
          <w:kern w:val="0"/>
        </w:rPr>
        <w:t>四是促发展。</w:t>
      </w:r>
      <w:r>
        <w:rPr>
          <w:rFonts w:ascii="Times New Roman" w:eastAsia="方正仿宋_GBK" w:hAnsi="Times New Roman" w:hint="eastAsia"/>
          <w:kern w:val="0"/>
        </w:rPr>
        <w:t>把支持自贸试验区建设作为推动高水平开放的最有力抓手，以制度创新为核心，推出更多好用管用的自主创新举措，助力山东自贸区高质量发展。积极落实综保区“</w:t>
      </w:r>
      <w:r>
        <w:rPr>
          <w:kern w:val="0"/>
        </w:rPr>
        <w:t>21</w:t>
      </w:r>
      <w:r>
        <w:rPr>
          <w:rFonts w:ascii="Times New Roman" w:eastAsia="方正仿宋_GBK" w:hAnsi="Times New Roman" w:hint="eastAsia"/>
          <w:kern w:val="0"/>
        </w:rPr>
        <w:t>条”政策，加快推进特殊区域整合优化。实施出口食品“即报即放”等一批新模式，服务潍坊国家农业开放发展综合试验区建设。为</w:t>
      </w:r>
      <w:r>
        <w:rPr>
          <w:rFonts w:ascii="Times New Roman" w:eastAsia="方正仿宋_GBK" w:hAnsi="Times New Roman" w:hint="eastAsia"/>
          <w:snapToGrid w:val="0"/>
          <w:kern w:val="0"/>
        </w:rPr>
        <w:t>济南跨境电商综试区</w:t>
      </w:r>
      <w:r>
        <w:rPr>
          <w:rFonts w:ascii="Times New Roman" w:eastAsia="方正仿宋_GBK" w:hAnsi="Times New Roman" w:hint="eastAsia"/>
          <w:kern w:val="0"/>
        </w:rPr>
        <w:t>量身定制</w:t>
      </w:r>
      <w:r>
        <w:rPr>
          <w:rFonts w:ascii="Times New Roman" w:eastAsia="方正仿宋_GBK" w:hAnsi="Times New Roman" w:hint="eastAsia"/>
          <w:snapToGrid w:val="0"/>
          <w:kern w:val="0"/>
        </w:rPr>
        <w:t>通关流程，推动跨境电商业务规范健康发展。</w:t>
      </w:r>
    </w:p>
    <w:p>
      <w:pPr>
        <w:pStyle w:val="17"/>
        <w:spacing w:line="560" w:lineRule="exact"/>
        <w:ind w:left="0" w:firstLineChars="200" w:firstLine="632"/>
        <w:rPr>
          <w:rFonts w:ascii="方正仿宋_GBK" w:hint="eastAsia"/>
        </w:rPr>
      </w:pPr>
      <w:r>
        <w:rPr>
          <w:rFonts w:ascii="Times New Roman" w:eastAsia="方正仿宋_GBK" w:hAnsi="Times New Roman" w:hint="eastAsia"/>
          <w:b/>
          <w:bCs/>
          <w:kern w:val="0"/>
        </w:rPr>
        <w:t>五是惠民生。</w:t>
      </w:r>
      <w:r>
        <w:rPr>
          <w:rFonts w:ascii="Times New Roman" w:eastAsia="方正仿宋_GBK" w:hAnsi="Times New Roman" w:hint="eastAsia"/>
          <w:kern w:val="0"/>
        </w:rPr>
        <w:t>推行行政处罚简单案件、简易程序违规案件从简办理，最大限度减少对企业生产经营的影响。加强对进口食品、重点商品的质量把关。支持扩大猪肉及其制品进口，促进保供稳价。努力打造监管最有效、通关最便利、体验最友好的进出境旅客“无感通关”模式，提供更加便捷舒适的通关体验。</w:t>
      </w:r>
    </w:p>
    <w:p>
      <w:pPr>
        <w:jc w:val="left"/>
      </w:pPr>
    </w:p>
    <w:sectPr>
      <w:footerReference w:type="default" r:id="rId2"/>
      <w:footerReference w:type="even" r:id="rId3"/>
      <w:footerReference w:type="first" r:id="rId4"/>
      <w:pgSz w:w="11907" w:h="16840"/>
      <w:pgMar w:top="1588" w:right="1531" w:bottom="2041" w:left="1531" w:header="851" w:footer="992" w:gutter="0"/>
      <w:pgNumType/>
      <w:titlePg/>
      <w:docGrid w:type="linesAndChars" w:linePitch="579" w:charSpace="-849"/>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方正仿宋_GBK">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27"/>
      <w:framePr w:w="1048" w:hRule="auto" w:wrap="around" w:vAnchor="text" w:hAnchor="page" w:x="9304" w:y="-657" w:anchorLock="0"/>
      <w:tabs>
        <w:tab w:val="center" w:pos="4153"/>
        <w:tab w:val="right" w:pos="8306"/>
      </w:tabs>
      <w:rPr>
        <w:rStyle w:val="42"/>
      </w:rPr>
    </w:pPr>
    <w:r>
      <w:rPr>
        <w:rStyle w:val="42"/>
        <w:rFonts w:hint="eastAsia"/>
        <w:sz w:val="28"/>
      </w:rPr>
      <w:t>－</w:t>
    </w:r>
    <w:r>
      <w:rPr>
        <w:rStyle w:val="42"/>
        <w:rFonts w:ascii="宋体" w:eastAsia="宋体" w:hint="eastAsia"/>
        <w:sz w:val="28"/>
      </w:rPr>
      <w:fldChar w:fldCharType="begin"/>
    </w:r>
    <w:r>
      <w:rPr>
        <w:rStyle w:val="42"/>
        <w:rFonts w:ascii="宋体" w:eastAsia="宋体" w:hint="eastAsia"/>
        <w:sz w:val="28"/>
      </w:rPr>
      <w:instrText xml:space="preserve">PAGE  </w:instrText>
    </w:r>
    <w:r>
      <w:rPr>
        <w:rStyle w:val="42"/>
        <w:rFonts w:ascii="宋体" w:eastAsia="宋体" w:hint="eastAsia"/>
        <w:sz w:val="28"/>
      </w:rPr>
      <w:fldChar w:fldCharType="separate"/>
    </w:r>
    <w:r>
      <w:rPr>
        <w:rStyle w:val="42"/>
        <w:rFonts w:ascii="宋体" w:eastAsia="宋体" w:hint="eastAsia"/>
        <w:sz w:val="28"/>
        <w:lang w:val="en-US" w:eastAsia="zh-CN"/>
      </w:rPr>
      <w:t>3</w:t>
    </w:r>
    <w:r>
      <w:rPr>
        <w:rStyle w:val="42"/>
        <w:rFonts w:ascii="宋体" w:eastAsia="宋体" w:hint="eastAsia"/>
        <w:sz w:val="28"/>
      </w:rPr>
      <w:fldChar w:fldCharType="end"/>
    </w:r>
    <w:r>
      <w:rPr>
        <w:rStyle w:val="42"/>
        <w:rFonts w:hint="eastAsia"/>
        <w:sz w:val="28"/>
      </w:rPr>
      <w:t>－</w:t>
    </w:r>
  </w:p>
  <w:p>
    <w:pPr>
      <w:pStyle w:val="127"/>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26"/>
      <w:framePr w:w="0" w:hRule="exact" w:h="398" w:wrap="around" w:vAnchor="text" w:hAnchor="page" w:x="1577" w:y="-673" w:anchorLock="0"/>
      <w:tabs>
        <w:tab w:val="center" w:pos="4153"/>
        <w:tab w:val="right" w:pos="8306"/>
      </w:tabs>
      <w:ind w:firstLineChars="100" w:firstLine="280"/>
      <w:rPr>
        <w:rStyle w:val="42"/>
        <w:rFonts w:hint="eastAsia"/>
      </w:rPr>
    </w:pPr>
    <w:r>
      <w:rPr>
        <w:rStyle w:val="42"/>
        <w:rFonts w:hint="eastAsia"/>
        <w:sz w:val="28"/>
      </w:rPr>
      <w:t>－</w:t>
    </w:r>
    <w:r>
      <w:rPr>
        <w:rStyle w:val="42"/>
        <w:rFonts w:ascii="宋体" w:eastAsia="宋体" w:hint="eastAsia"/>
        <w:sz w:val="28"/>
        <w:szCs w:val="28"/>
      </w:rPr>
      <w:fldChar w:fldCharType="begin"/>
    </w:r>
    <w:r>
      <w:rPr>
        <w:rStyle w:val="42"/>
        <w:rFonts w:ascii="宋体" w:eastAsia="宋体" w:hint="eastAsia"/>
        <w:sz w:val="28"/>
        <w:szCs w:val="28"/>
      </w:rPr>
      <w:instrText xml:space="preserve">PAGE  </w:instrText>
    </w:r>
    <w:r>
      <w:rPr>
        <w:rStyle w:val="42"/>
        <w:rFonts w:ascii="宋体" w:eastAsia="宋体" w:hint="eastAsia"/>
        <w:sz w:val="28"/>
        <w:szCs w:val="28"/>
      </w:rPr>
      <w:fldChar w:fldCharType="separate"/>
    </w:r>
    <w:r>
      <w:rPr>
        <w:rStyle w:val="42"/>
        <w:rFonts w:ascii="宋体" w:eastAsia="宋体" w:hint="eastAsia"/>
        <w:sz w:val="28"/>
        <w:szCs w:val="28"/>
        <w:lang w:val="en-US" w:eastAsia="zh-CN"/>
      </w:rPr>
      <w:t>2</w:t>
    </w:r>
    <w:r>
      <w:rPr>
        <w:rStyle w:val="42"/>
        <w:rFonts w:ascii="宋体" w:eastAsia="宋体" w:hint="eastAsia"/>
        <w:sz w:val="28"/>
        <w:szCs w:val="28"/>
      </w:rPr>
      <w:fldChar w:fldCharType="end"/>
    </w:r>
    <w:r>
      <w:rPr>
        <w:rStyle w:val="42"/>
        <w:rFonts w:hint="eastAsia"/>
        <w:sz w:val="28"/>
      </w:rPr>
      <w:t>－</w:t>
    </w:r>
  </w:p>
  <w:p>
    <w:pPr>
      <w:pStyle w:val="12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28"/>
      <w:tabs>
        <w:tab w:val="center" w:pos="4153"/>
        <w:tab w:val="right" w:pos="8306"/>
      </w:tabs>
    </w:pPr>
    <w:r>
      <mc:AlternateContent>
        <mc:Choice Requires="wps">
          <w:drawing>
            <wp:anchor distT="0" distB="0" distL="85723" distR="85723" simplePos="0" relativeHeight="2" behindDoc="1" locked="0" layoutInCell="1" hidden="0" allowOverlap="1">
              <wp:simplePos x="0" y="0"/>
              <wp:positionH relativeFrom="page">
                <wp:align>center</wp:align>
              </wp:positionH>
              <wp:positionV relativeFrom="page">
                <wp:posOffset>9886951</wp:posOffset>
              </wp:positionV>
              <wp:extent cx="6117589" cy="0"/>
              <wp:effectExtent l="0" t="0" r="0" b="0"/>
              <wp:wrapNone/>
              <wp:docPr id="1" name="直线 1"/>
              <wp:cNvGraphicFramePr>
                <a:graphicFrameLocks noChangeAspect="0"/>
              </wp:cNvGraphicFramePr>
              <a:graphic>
                <a:graphicData uri="http://schemas.microsoft.com/office/word/2010/wordprocessingShape">
                  <wps:wsp>
                    <wps:cNvSpPr/>
                    <wps:spPr>
                      <a:xfrm rot="0">
                        <a:off x="0" y="0"/>
                        <a:ext cx="6117589" cy="0"/>
                      </a:xfrm>
                      <a:prstGeom prst="line"/>
                      <a:noFill/>
                      <a:ln w="57150" cmpd="thinThick" cap="flat">
                        <a:solidFill>
                          <a:srgbClr val="FF0000"/>
                        </a:solidFill>
                        <a:prstDash val="solid"/>
                        <a:miter/>
                      </a:ln>
                    </wps:spPr>
                    <wps:bodyPr vert="horz" wrap="square" lIns="91440" tIns="45720" rIns="91440" bIns="45720" anchor="t" anchorCtr="0" upright="1">
                      <a:noAutofit/>
                    </wps:bodyPr>
                  </wps:wsp>
                </a:graphicData>
              </a:graphic>
            </wp:anchor>
          </w:drawing>
        </mc:Choice>
        <mc:Fallback>
          <w:pict>
            <v:line type="#_x0000_t20" id="直线 2" o:spid="_x0000_s2" from="64.2pt,778.50006pt" to="545.89996pt,778.50006pt" filled="f" stroked="t" strokeweight="4.5pt" style="position:absolute;z-index:-5;mso-position-horizontal:center;mso-position-horizontal-relative:page;mso-position-vertical:absolute;mso-position-vertical-relative:page;mso-wrap-distance-left:6.7498426pt;mso-wrap-distance-right:6.7498426pt;">
              <v:stroke linestyle="thinThick" color="#FF0000"/>
            </v:lin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5"/>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hAnsi="Times New Roman"/>
      <w:kern w:val="2"/>
      <w:sz w:val="32"/>
      <w:lang w:val="en-US" w:eastAsia="zh-CN"/>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7">
    <w:name w:val="index 7"/>
    <w:autoRedefine/>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252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32"/>
      <w:u w:val="none" w:color="auto"/>
      <w:bdr w:val="none" w:sz="0" w:space="0" w:color="auto"/>
      <w:vertAlign w:val="baseline"/>
      <w:em w:val="none"/>
      <w:lang w:val="en-US" w:eastAsia="zh-CN" w:bidi="ar-SA"/>
    </w:rPr>
  </w:style>
  <w:style w:type="paragraph" w:styleId="21">
    <w:name w:val="toc 2"/>
    <w:basedOn w:val="0"/>
    <w:autoRedefine/>
    <w:next w:val="0"/>
    <w:pPr>
      <w:ind w:left="420"/>
    </w:p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character" w:styleId="42">
    <w:name w:val="page number"/>
  </w:style>
  <w:style w:type="paragraph" w:customStyle="1" w:styleId="123">
    <w:name w:val="样式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方正仿宋_GBK" w:cs="Arial"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124">
    <w:name w:val="样式 四号"/>
    <w:next w:val="2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center"/>
      <w:textAlignment w:val="auto"/>
      <w:outlineLvl w:val="9"/>
    </w:pPr>
    <w:rPr>
      <w:rFonts w:ascii="Calibri" w:eastAsia="方正仿宋_GBK" w:cs="Arial" w:hAnsi="Calibri"/>
      <w:snapToGrid/>
      <w:color w:val="auto"/>
      <w:spacing w:val="0"/>
      <w:w w:val="100"/>
      <w:kern w:val="0"/>
      <w:position w:val="0"/>
      <w:sz w:val="28"/>
      <w:szCs w:val="22"/>
      <w:u w:val="none" w:color="auto"/>
      <w:bdr w:val="none" w:sz="0" w:space="0" w:color="auto"/>
      <w:vertAlign w:val="baseline"/>
      <w:em w:val="none"/>
      <w:lang w:val="en-US" w:eastAsia="zh-CN" w:bidi="ar-SA"/>
    </w:rPr>
  </w:style>
  <w:style w:type="paragraph" w:customStyle="1" w:styleId="125">
    <w:name w:val="样式 1 三号"/>
    <w:next w:val="3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32"/>
      <w:u w:val="none" w:color="auto"/>
      <w:bdr w:val="none" w:sz="0" w:space="0" w:color="auto"/>
      <w:vertAlign w:val="baseline"/>
      <w:em w:val="none"/>
      <w:lang w:val="en-US" w:eastAsia="zh-CN" w:bidi="ar-SA"/>
    </w:rPr>
  </w:style>
  <w:style w:type="paragraph" w:customStyle="1" w:styleId="126">
    <w:name w:val="样式 小五"/>
    <w:pPr>
      <w:widowControl w:val="0"/>
      <w:tabs>
        <w:tab w:val="center" w:pos="4153"/>
        <w:tab w:val="right" w:pos="8306"/>
      </w:tabs>
      <w:snapToGrid w:val="0"/>
      <w:jc w:val="left"/>
    </w:pPr>
    <w:rPr>
      <w:rFonts w:ascii="Times New Roman" w:eastAsia="方正仿宋_GBK" w:cs="Times New Roman" w:hAnsi="Times New Roman"/>
      <w:kern w:val="2"/>
      <w:sz w:val="18"/>
      <w:szCs w:val="32"/>
      <w:lang w:val="en-US" w:eastAsia="zh-CN" w:bidi="ar-SA"/>
    </w:rPr>
  </w:style>
  <w:style w:type="paragraph" w:customStyle="1" w:styleId="127">
    <w:name w:val="样式 1 小五"/>
    <w:pPr>
      <w:widowControl w:val="0"/>
      <w:tabs>
        <w:tab w:val="center" w:pos="4153"/>
        <w:tab w:val="right" w:pos="8306"/>
      </w:tabs>
      <w:snapToGrid w:val="0"/>
      <w:jc w:val="left"/>
    </w:pPr>
    <w:rPr>
      <w:rFonts w:ascii="Times New Roman" w:eastAsia="方正仿宋_GBK" w:cs="Times New Roman" w:hAnsi="Times New Roman"/>
      <w:kern w:val="2"/>
      <w:sz w:val="18"/>
      <w:szCs w:val="32"/>
      <w:lang w:val="en-US" w:eastAsia="zh-CN" w:bidi="ar-SA"/>
    </w:rPr>
  </w:style>
  <w:style w:type="paragraph" w:customStyle="1" w:styleId="128">
    <w:name w:val="样式 2 小五"/>
    <w:pPr>
      <w:widowControl w:val="0"/>
      <w:tabs>
        <w:tab w:val="center" w:pos="4153"/>
        <w:tab w:val="right" w:pos="8306"/>
      </w:tabs>
      <w:snapToGrid w:val="0"/>
      <w:jc w:val="left"/>
    </w:pPr>
    <w:rPr>
      <w:rFonts w:ascii="Times New Roman" w:eastAsia="方正仿宋_GBK" w:cs="Times New Roman" w:hAnsi="Times New Roman"/>
      <w:kern w:val="2"/>
      <w:sz w:val="18"/>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2</Pages>
  <Words>973</Words>
  <Characters>980</Characters>
  <Lines>39</Lines>
  <Paragraphs>6</Paragraphs>
  <CharactersWithSpaces>980</CharactersWithSpaces>
  <Company>hgzs</Company>
</Properties>
</file>

<file path=docProps/core.xml><?xml version="1.0" encoding="utf-8"?>
<cp:coreProperties xmlns:cp="http://schemas.openxmlformats.org/package/2006/metadata/core-properties" xmlns:dc="http://purl.org/dc/elements/1.1/" xmlns:dcterms="http://purl.org/dc/terms/" xmlns:xsi="http://www.w3.org/2001/XMLSchema-instance">
  <dc:creator>杨俊卿</dc:creator>
  <cp:lastModifiedBy>杨俊卿</cp:lastModifiedBy>
  <cp:revision>1</cp:revision>
  <dcterms:created xsi:type="dcterms:W3CDTF">2020-03-27T03:49:17Z</dcterms:created>
  <dcterms:modified xsi:type="dcterms:W3CDTF">2020-03-27T03:50:10Z</dcterms:modified>
</cp:coreProperties>
</file>