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2"/>
        <w:spacing w:line="560" w:lineRule="exact"/>
        <w:jc w:val="center"/>
        <w:rPr>
          <w:rFonts w:ascii="Times New Roman" w:eastAsia="方正仿宋_GBK" w:cs="Times New Roman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方正小标宋_GBK" w:cs="Times New Roman" w:hAnsi="Times New Roman"/>
          <w:sz w:val="44"/>
          <w:szCs w:val="44"/>
        </w:rPr>
        <w:t>202</w:t>
      </w:r>
      <w:r>
        <w:rPr>
          <w:rFonts w:ascii="Times New Roman" w:eastAsia="方正小标宋_GBK" w:cs="Times New Roman" w:hAnsi="Times New Roman" w:hint="eastAsia"/>
          <w:sz w:val="44"/>
          <w:szCs w:val="44"/>
        </w:rPr>
        <w:t>6</w:t>
      </w:r>
      <w:r>
        <w:rPr>
          <w:rFonts w:ascii="Times New Roman" w:eastAsia="方正小标宋_GBK" w:cs="Times New Roman" w:hAnsi="Times New Roman"/>
          <w:sz w:val="44"/>
          <w:szCs w:val="44"/>
        </w:rPr>
        <w:t>年前7个月惠州进出口情况</w:t>
      </w:r>
    </w:p>
    <w:p>
      <w:pPr>
        <w:pStyle w:val="23"/>
        <w:autoSpaceDN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pStyle w:val="24"/>
        <w:autoSpaceDN w:val="0"/>
        <w:snapToGrid w:val="0"/>
        <w:spacing w:line="560" w:lineRule="exact"/>
        <w:ind w:firstLineChars="200" w:firstLine="640"/>
        <w:jc w:val="both"/>
        <w:rPr>
          <w:rFonts w:eastAsia="方正仿宋_GBK"/>
          <w:snapToGrid w:val="0"/>
          <w:sz w:val="32"/>
          <w:szCs w:val="32"/>
          <w:lang w:eastAsia="zh-CN"/>
        </w:rPr>
      </w:pPr>
      <w:r>
        <w:rPr>
          <w:rFonts w:eastAsia="方正仿宋_GBK"/>
          <w:snapToGrid w:val="0"/>
          <w:sz w:val="32"/>
          <w:szCs w:val="32"/>
          <w:lang w:eastAsia="zh-CN"/>
        </w:rPr>
        <w:t>据海关统计，2026年1-7月，惠州市进出口2739.9亿元人民币，同比（下同）增长15.4%。其中，出口1561.6亿元，增长16.4%；进口1178.3亿元，增长14.2%。 主要特点如下：</w:t>
      </w:r>
    </w:p>
    <w:p>
      <w:pPr>
        <w:pStyle w:val="25"/>
        <w:snapToGrid w:val="0"/>
        <w:spacing w:line="560" w:lineRule="exact"/>
        <w:ind w:firstLineChars="200" w:firstLine="640"/>
        <w:jc w:val="both"/>
        <w:rPr>
          <w:rFonts w:ascii="Times New Roman" w:eastAsia="方正仿宋_GBK" w:hAnsi="Times New Roman"/>
          <w:snapToGrid w:val="0"/>
          <w:kern w:val="0"/>
          <w:sz w:val="32"/>
          <w:szCs w:val="32"/>
        </w:rPr>
      </w:pPr>
      <w:r>
        <w:rPr>
          <w:rFonts w:ascii="Times New Roman" w:eastAsia="方正楷体_GBK" w:hAnsi="Times New Roman"/>
          <w:b/>
          <w:snapToGrid w:val="0"/>
          <w:kern w:val="0"/>
          <w:sz w:val="32"/>
          <w:szCs w:val="32"/>
        </w:rPr>
        <w:t>一是主要贸易方式均实现增长。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1-7月，惠州市以一般贸易方式进出口1436亿元，增长21.7%，占同期全市进出口总值的（下同）52.4%。</w:t>
      </w:r>
      <w:r>
        <w:rPr>
          <w:rFonts w:ascii="Times New Roman" w:eastAsia="方正仿宋_GBK" w:hAnsi="Times New Roman" w:hint="eastAsia"/>
          <w:snapToGrid w:val="0"/>
          <w:kern w:val="0"/>
          <w:sz w:val="32"/>
          <w:szCs w:val="32"/>
        </w:rPr>
        <w:t>同期，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加工贸易进出口840.8亿元，增长11%，占30.7%；保税物流贸易进出口458.8亿元，增长6.1%。</w:t>
      </w:r>
    </w:p>
    <w:p>
      <w:pPr>
        <w:pStyle w:val="27"/>
        <w:autoSpaceDN w:val="0"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bCs/>
          <w:snapToGrid w:val="0"/>
          <w:kern w:val="0"/>
          <w:sz w:val="32"/>
          <w:szCs w:val="32"/>
        </w:rPr>
      </w:pPr>
      <w:r>
        <w:rPr>
          <w:rFonts w:ascii="Times New Roman" w:eastAsia="方正楷体_GBK" w:cs="Times New Roman" w:hAnsi="Times New Roman"/>
          <w:b/>
          <w:bCs/>
          <w:snapToGrid w:val="0"/>
          <w:kern w:val="0"/>
          <w:sz w:val="32"/>
          <w:szCs w:val="32"/>
        </w:rPr>
        <w:t>二是民营企业进出口</w:t>
      </w:r>
      <w:r>
        <w:rPr>
          <w:rFonts w:ascii="Times New Roman" w:eastAsia="方正楷体_GBK" w:cs="Times New Roman" w:hAnsi="Times New Roman" w:hint="eastAsia"/>
          <w:b/>
          <w:bCs/>
          <w:snapToGrid w:val="0"/>
          <w:kern w:val="0"/>
          <w:sz w:val="32"/>
          <w:szCs w:val="32"/>
        </w:rPr>
        <w:t>增长较快</w:t>
      </w:r>
      <w:r>
        <w:rPr>
          <w:rFonts w:ascii="Times New Roman" w:eastAsia="方正楷体_GBK" w:cs="Times New Roman" w:hAnsi="Times New Roman"/>
          <w:b/>
          <w:bCs/>
          <w:snapToGrid w:val="0"/>
          <w:kern w:val="0"/>
          <w:sz w:val="32"/>
          <w:szCs w:val="32"/>
        </w:rPr>
        <w:t>。</w:t>
      </w:r>
      <w:r>
        <w:rPr>
          <w:rFonts w:ascii="Times New Roman" w:eastAsia="方正仿宋_GBK" w:cs="Times New Roman" w:hAnsi="Times New Roman"/>
          <w:bCs/>
          <w:snapToGrid w:val="0"/>
          <w:kern w:val="0"/>
          <w:sz w:val="32"/>
          <w:szCs w:val="32"/>
        </w:rPr>
        <w:t>1-7月，惠州市民营企业进出口1336.6亿元，增长20.6%，占48.8%</w:t>
      </w:r>
      <w:r>
        <w:rPr>
          <w:rFonts w:ascii="Times New Roman" w:eastAsia="方正仿宋_GBK" w:cs="Times New Roman" w:hAnsi="Times New Roman" w:hint="eastAsia"/>
          <w:bCs/>
          <w:snapToGrid w:val="0"/>
          <w:kern w:val="0"/>
          <w:sz w:val="32"/>
          <w:szCs w:val="32"/>
        </w:rPr>
        <w:t>。同期，</w:t>
      </w:r>
      <w:r>
        <w:rPr>
          <w:rFonts w:ascii="Times New Roman" w:eastAsia="方正仿宋_GBK" w:cs="Times New Roman" w:hAnsi="Times New Roman"/>
          <w:bCs/>
          <w:snapToGrid w:val="0"/>
          <w:kern w:val="0"/>
          <w:sz w:val="32"/>
          <w:szCs w:val="32"/>
        </w:rPr>
        <w:t>外商投资企业进出口1357.7亿元，增长12%，占49.6%。</w:t>
      </w:r>
    </w:p>
    <w:p>
      <w:pPr>
        <w:pStyle w:val="27"/>
        <w:autoSpaceDN w:val="0"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bCs/>
          <w:snapToGrid w:val="0"/>
          <w:kern w:val="0"/>
          <w:sz w:val="32"/>
          <w:szCs w:val="32"/>
        </w:rPr>
      </w:pPr>
      <w:r>
        <w:rPr>
          <w:rFonts w:ascii="Times New Roman" w:eastAsia="方正楷体_GBK" w:cs="Times New Roman" w:hAnsi="Times New Roman"/>
          <w:b/>
          <w:snapToGrid w:val="0"/>
          <w:kern w:val="0"/>
          <w:sz w:val="32"/>
          <w:szCs w:val="32"/>
        </w:rPr>
        <w:t>三是</w:t>
      </w:r>
      <w:r>
        <w:rPr>
          <w:rFonts w:ascii="Times New Roman" w:eastAsia="方正楷体_GBK" w:cs="Times New Roman" w:hAnsi="Times New Roman" w:hint="eastAsia"/>
          <w:b/>
          <w:snapToGrid w:val="0"/>
          <w:kern w:val="0"/>
          <w:sz w:val="32"/>
          <w:szCs w:val="32"/>
        </w:rPr>
        <w:t>多数主要</w:t>
      </w:r>
      <w:r>
        <w:rPr>
          <w:rFonts w:ascii="Times New Roman" w:eastAsia="方正楷体_GBK" w:cs="Times New Roman" w:hAnsi="Times New Roman"/>
          <w:b/>
          <w:snapToGrid w:val="0"/>
          <w:kern w:val="0"/>
          <w:sz w:val="32"/>
          <w:szCs w:val="32"/>
        </w:rPr>
        <w:t>贸易伙伴保持增长。</w:t>
      </w:r>
      <w:r>
        <w:rPr>
          <w:rFonts w:ascii="Times New Roman" w:eastAsia="方正仿宋_GBK" w:cs="Times New Roman" w:hAnsi="Times New Roman"/>
          <w:bCs/>
          <w:snapToGrid w:val="0"/>
          <w:kern w:val="0"/>
          <w:sz w:val="32"/>
          <w:szCs w:val="32"/>
        </w:rPr>
        <w:t>1-7月，东盟、欧盟、</w:t>
      </w:r>
      <w:r>
        <w:rPr>
          <w:rFonts w:ascii="Times New Roman" w:eastAsia="方正仿宋_GBK" w:cs="Times New Roman" w:hAnsi="Times New Roman" w:hint="eastAsia"/>
          <w:bCs/>
          <w:snapToGrid w:val="0"/>
          <w:kern w:val="0"/>
          <w:sz w:val="32"/>
          <w:szCs w:val="32"/>
        </w:rPr>
        <w:t>中国</w:t>
      </w:r>
      <w:r>
        <w:rPr>
          <w:rFonts w:ascii="Times New Roman" w:eastAsia="方正仿宋_GBK" w:cs="Times New Roman" w:hAnsi="Times New Roman"/>
          <w:bCs/>
          <w:snapToGrid w:val="0"/>
          <w:kern w:val="0"/>
          <w:sz w:val="32"/>
          <w:szCs w:val="32"/>
        </w:rPr>
        <w:t>台湾地区、韩国、</w:t>
      </w:r>
      <w:r>
        <w:rPr>
          <w:rFonts w:ascii="Times New Roman" w:eastAsia="方正仿宋_GBK" w:cs="Times New Roman" w:hAnsi="Times New Roman" w:hint="eastAsia"/>
          <w:bCs/>
          <w:snapToGrid w:val="0"/>
          <w:kern w:val="0"/>
          <w:sz w:val="32"/>
          <w:szCs w:val="32"/>
        </w:rPr>
        <w:t>中国</w:t>
      </w:r>
      <w:r>
        <w:rPr>
          <w:rFonts w:ascii="Times New Roman" w:eastAsia="方正仿宋_GBK" w:cs="Times New Roman" w:hAnsi="Times New Roman"/>
          <w:bCs/>
          <w:snapToGrid w:val="0"/>
          <w:kern w:val="0"/>
          <w:sz w:val="32"/>
          <w:szCs w:val="32"/>
        </w:rPr>
        <w:t>香港地区是惠州市前五大贸易伙伴。其中，对东盟、欧盟、韩国、</w:t>
      </w:r>
      <w:r>
        <w:rPr>
          <w:rFonts w:ascii="Times New Roman" w:eastAsia="方正仿宋_GBK" w:cs="Times New Roman" w:hAnsi="Times New Roman" w:hint="eastAsia"/>
          <w:bCs/>
          <w:snapToGrid w:val="0"/>
          <w:kern w:val="0"/>
          <w:sz w:val="32"/>
          <w:szCs w:val="32"/>
        </w:rPr>
        <w:t>中国</w:t>
      </w:r>
      <w:r>
        <w:rPr>
          <w:rFonts w:ascii="Times New Roman" w:eastAsia="方正仿宋_GBK" w:cs="Times New Roman" w:hAnsi="Times New Roman"/>
          <w:bCs/>
          <w:snapToGrid w:val="0"/>
          <w:kern w:val="0"/>
          <w:sz w:val="32"/>
          <w:szCs w:val="32"/>
        </w:rPr>
        <w:t>香港地区分别进出口366.5亿元、288.7亿元、270.9亿元、240.6亿元，分别增长10.3%、19.4%、45.9%、17.2%。同期，对台湾地区进出口277.9亿元，下降28.1%。</w:t>
      </w:r>
    </w:p>
    <w:p>
      <w:pPr>
        <w:pStyle w:val="70"/>
        <w:adjustRightInd w:val="0"/>
        <w:snapToGrid w:val="0"/>
        <w:spacing w:beforeLines="50" w:before="156" w:afterLines="50" w:after="156" w:line="400" w:lineRule="exact"/>
        <w:jc w:val="center"/>
        <w:rPr>
          <w:rFonts w:ascii="方正黑体_GBK" w:eastAsia="方正黑体_GBK"/>
          <w:sz w:val="28"/>
        </w:rPr>
      </w:pPr>
      <w:r>
        <w:rPr>
          <w:rFonts w:ascii="方正黑体_GBK" w:eastAsia="方正黑体_GBK" w:hint="eastAsia"/>
          <w:sz w:val="28"/>
        </w:rPr>
        <w:t>2026年1-7月惠州市进出口主要贸易伙伴情况表</w:t>
      </w:r>
    </w:p>
    <w:p>
      <w:pPr>
        <w:pStyle w:val="70"/>
        <w:adjustRightInd w:val="0"/>
        <w:snapToGrid w:val="0"/>
        <w:spacing w:line="400" w:lineRule="exact"/>
        <w:jc w:val="right"/>
        <w:rPr>
          <w:rFonts w:eastAsia="方正黑体_GBK"/>
          <w:sz w:val="24"/>
          <w:szCs w:val="24"/>
        </w:rPr>
      </w:pPr>
      <w:r>
        <w:rPr>
          <w:rFonts w:hint="eastAsia"/>
          <w:bCs/>
          <w:sz w:val="24"/>
          <w:szCs w:val="24"/>
        </w:rPr>
        <w:t>单位：亿元人民币，</w:t>
      </w:r>
      <w:r>
        <w:rPr>
          <w:bCs/>
          <w:sz w:val="24"/>
          <w:szCs w:val="24"/>
        </w:rPr>
        <w:t>%</w:t>
      </w:r>
      <w:r>
        <w:rPr>
          <w:rFonts w:hint="eastAsia"/>
          <w:bCs/>
          <w:sz w:val="24"/>
          <w:szCs w:val="24"/>
        </w:rPr>
        <w:t>，</w:t>
      </w:r>
      <w:r>
        <w:rPr>
          <w:bCs/>
          <w:sz w:val="24"/>
          <w:szCs w:val="24"/>
        </w:rPr>
        <w:t>%</w:t>
      </w:r>
    </w:p>
    <w:tbl>
      <w:tblPr>
        <w:jc w:val="center"/>
        <w:tblW w:w="3063" w:type="pct"/>
        <w:tbl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outset" w:sz="6" w:space="0" w:color="auto"/>
          <w:insideV w:val="outset" w:sz="6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1566"/>
        <w:gridCol w:w="970"/>
        <w:gridCol w:w="948"/>
      </w:tblGrid>
      <w:tr>
        <w:trPr>
          <w:trHeight w:val="315"/>
        </w:trPr>
        <w:tc>
          <w:tcPr>
            <w:tcW w:w="1663" w:type="pct"/>
            <w:vMerge w:val="restart"/>
            <w:tcBorders>
              <w:top w:val="single" w:sz="8" w:space="0" w:color="CCE8CF"/>
              <w:left w:val="single" w:sz="8" w:space="0" w:color="CCE8CF"/>
              <w:bottom w:val="nil"/>
              <w:right w:val="single" w:sz="8" w:space="0" w:color="CCE8CF"/>
            </w:tcBorders>
            <w:shd w:val="clear" w:color="auto" w:fill="4BACC6"/>
            <w:vAlign w:val="center"/>
          </w:tcPr>
          <w:p>
            <w:pPr>
              <w:pStyle w:val="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贸易伙伴</w:t>
            </w:r>
          </w:p>
        </w:tc>
        <w:tc>
          <w:tcPr>
            <w:tcW w:w="3337" w:type="pct"/>
            <w:gridSpan w:val="3"/>
            <w:tcBorders>
              <w:top w:val="single" w:sz="8" w:space="0" w:color="CCE8CF"/>
              <w:left w:val="single" w:sz="8" w:space="0" w:color="CCE8CF"/>
              <w:bottom w:val="single" w:sz="24" w:space="0" w:color="CCE8CF"/>
              <w:right w:val="single" w:sz="8" w:space="0" w:color="CCE8CF"/>
            </w:tcBorders>
            <w:shd w:val="clear" w:color="auto" w:fill="4BACC6"/>
          </w:tcPr>
          <w:p>
            <w:pPr>
              <w:pStyle w:val="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  <w:r>
              <w:rPr>
                <w:b/>
                <w:bCs/>
                <w:color w:val="000000"/>
                <w:sz w:val="22"/>
                <w:szCs w:val="20"/>
              </w:rPr>
              <w:t>02</w:t>
            </w:r>
            <w:r>
              <w:rPr>
                <w:rFonts w:hint="eastAsia"/>
                <w:b/>
                <w:bCs/>
                <w:color w:val="000000"/>
                <w:sz w:val="22"/>
                <w:szCs w:val="20"/>
              </w:rPr>
              <w:t>6年1-7月</w:t>
            </w:r>
          </w:p>
        </w:tc>
      </w:tr>
      <w:tr>
        <w:trPr>
          <w:trHeight w:val="315"/>
        </w:trPr>
        <w:tc>
          <w:tcPr>
            <w:vMerge/>
            <w:tcBorders>
              <w:top w:val="single" w:sz="8" w:space="0" w:color="CCE8CF"/>
              <w:left w:val="single" w:sz="8" w:space="0" w:color="CCE8CF"/>
              <w:bottom w:val="nil"/>
              <w:right w:val="single" w:sz="8" w:space="0" w:color="CCE8CF"/>
            </w:tcBorders>
            <w:vAlign w:val="center"/>
          </w:tcPr>
          <w:p/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A5D5E2"/>
          </w:tcPr>
          <w:p>
            <w:pPr>
              <w:pStyle w:val="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进出口值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A5D5E2"/>
          </w:tcPr>
          <w:p>
            <w:pPr>
              <w:pStyle w:val="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同比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A5D5E2"/>
          </w:tcPr>
          <w:p>
            <w:pPr>
              <w:pStyle w:val="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占比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东盟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366.5 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10.3 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13.4 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欧盟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288.7 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19.4 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10.5 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中国台湾地区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277.9 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-28.1 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10.1 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韩国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270.9 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45.9 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9.9 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single" w:sz="6" w:space="0" w:color="CCE8CF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中国香港地区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240.6 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17.2 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8.8 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美国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228.4 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10.2 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8.3 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single" w:sz="6" w:space="0" w:color="CCE8CF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日本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169.1 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39.6 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6.2 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墨西哥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92.5 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49.7 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3.4 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印度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89.9 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15.8 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3.3 </w:t>
            </w:r>
          </w:p>
        </w:tc>
      </w:tr>
      <w:tr>
        <w:trPr>
          <w:trHeight w:hRule="exact" w:val="397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single" w:sz="8" w:space="0" w:color="CCE8CF"/>
              <w:right w:val="single" w:sz="24" w:space="0" w:color="CCE8CF"/>
            </w:tcBorders>
            <w:shd w:val="clear" w:color="auto" w:fill="4BACC6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Cs/>
                <w:kern w:val="0"/>
                <w:sz w:val="24"/>
                <w:szCs w:val="24"/>
              </w:rPr>
              <w:t>巴西</w:t>
            </w:r>
          </w:p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8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57.3 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8" w:space="0" w:color="CCE8CF"/>
              <w:right w:val="single" w:sz="6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10.1 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2.1 </w:t>
            </w:r>
          </w:p>
        </w:tc>
      </w:tr>
    </w:tbl>
    <w:p>
      <w:pPr>
        <w:pStyle w:val="27"/>
        <w:autoSpaceDN w:val="0"/>
        <w:snapToGrid w:val="0"/>
        <w:spacing w:line="560" w:lineRule="exact"/>
        <w:rPr>
          <w:rFonts w:ascii="Times New Roman" w:eastAsia="方正仿宋_GBK" w:cs="Times New Roman" w:hAnsi="Times New Roman"/>
          <w:bCs/>
          <w:snapToGrid w:val="0"/>
          <w:kern w:val="0"/>
          <w:sz w:val="32"/>
          <w:szCs w:val="32"/>
        </w:rPr>
      </w:pPr>
    </w:p>
    <w:p>
      <w:pPr>
        <w:snapToGrid w:val="0"/>
        <w:spacing w:line="560" w:lineRule="exact"/>
        <w:ind w:firstLineChars="200" w:firstLine="640"/>
        <w:rPr>
          <w:rFonts w:eastAsia="方正仿宋_GBK"/>
          <w:bCs/>
          <w:snapToGrid w:val="0"/>
          <w:kern w:val="0"/>
          <w:sz w:val="32"/>
          <w:szCs w:val="32"/>
        </w:rPr>
      </w:pPr>
      <w:r>
        <w:rPr>
          <w:rFonts w:eastAsia="方正楷体_GBK"/>
          <w:b/>
          <w:snapToGrid w:val="0"/>
          <w:kern w:val="0"/>
          <w:sz w:val="32"/>
          <w:szCs w:val="32"/>
        </w:rPr>
        <w:t>四是电子元件、家用电器等机电产品保持较快增长。</w:t>
      </w:r>
      <w:r>
        <w:rPr>
          <w:rFonts w:eastAsia="方正仿宋_GBK"/>
          <w:bCs/>
          <w:snapToGrid w:val="0"/>
          <w:kern w:val="0"/>
          <w:sz w:val="32"/>
          <w:szCs w:val="32"/>
        </w:rPr>
        <w:t>1-7月，惠州市出口机电产品1160.3亿元，增长11.2%，占</w:t>
      </w:r>
      <w:r>
        <w:rPr>
          <w:rFonts w:eastAsia="方正仿宋_GBK" w:hint="eastAsia"/>
          <w:bCs/>
          <w:snapToGrid w:val="0"/>
          <w:kern w:val="0"/>
          <w:sz w:val="32"/>
          <w:szCs w:val="32"/>
        </w:rPr>
        <w:t>同期惠州市出口总值的（下同）</w:t>
      </w:r>
      <w:r>
        <w:rPr>
          <w:rFonts w:eastAsia="方正仿宋_GBK"/>
          <w:bCs/>
          <w:snapToGrid w:val="0"/>
          <w:kern w:val="0"/>
          <w:sz w:val="32"/>
          <w:szCs w:val="32"/>
        </w:rPr>
        <w:t>74.3%。其中，电子元件、家用电器、电工器材分别出口238.6亿元、206.9亿元、155.3亿元，分别增长20.3%、13.7%、13.4%。</w:t>
      </w:r>
      <w:r>
        <w:rPr>
          <w:rFonts w:eastAsia="方正仿宋_GBK" w:hint="eastAsia"/>
          <w:bCs/>
          <w:snapToGrid w:val="0"/>
          <w:kern w:val="0"/>
          <w:sz w:val="32"/>
          <w:szCs w:val="32"/>
        </w:rPr>
        <w:t>同期，出口劳动密集型产品195.6亿元，增长10.6%，占12.5%。</w:t>
      </w:r>
    </w:p>
    <w:p>
      <w:pPr>
        <w:pStyle w:val="30"/>
        <w:autoSpaceDN w:val="0"/>
        <w:snapToGrid w:val="0"/>
        <w:spacing w:line="560" w:lineRule="exact"/>
        <w:ind w:firstLineChars="200" w:firstLine="640"/>
        <w:rPr>
          <w:rFonts w:ascii="Times New Roman" w:hAnsi="Times New Roman"/>
          <w:bCs/>
          <w:snapToGrid w:val="0"/>
          <w:kern w:val="0"/>
          <w:szCs w:val="32"/>
        </w:rPr>
      </w:pPr>
      <w:r>
        <w:rPr>
          <w:rFonts w:ascii="Times New Roman" w:eastAsia="方正楷体_GBK" w:hAnsi="Times New Roman"/>
          <w:b/>
          <w:bCs/>
          <w:snapToGrid w:val="0"/>
          <w:kern w:val="0"/>
          <w:szCs w:val="32"/>
        </w:rPr>
        <w:t>五是</w:t>
      </w:r>
      <w:r>
        <w:rPr>
          <w:rFonts w:ascii="Times New Roman" w:eastAsia="方正楷体_GBK" w:hAnsi="Times New Roman"/>
          <w:b/>
          <w:snapToGrid w:val="0"/>
          <w:kern w:val="0"/>
          <w:szCs w:val="32"/>
        </w:rPr>
        <w:t>集成电路、成品油进口增势较好。</w:t>
      </w:r>
      <w:r>
        <w:rPr>
          <w:rFonts w:ascii="Times New Roman" w:hAnsi="Times New Roman"/>
          <w:bCs/>
          <w:snapToGrid w:val="0"/>
          <w:kern w:val="0"/>
          <w:szCs w:val="32"/>
        </w:rPr>
        <w:t>1-7月，惠州市进口机电产品907.6亿元，增长18.4%，占</w:t>
      </w:r>
      <w:r>
        <w:rPr>
          <w:rFonts w:hint="eastAsia"/>
          <w:bCs/>
          <w:snapToGrid w:val="0"/>
          <w:kern w:val="0"/>
          <w:szCs w:val="32"/>
        </w:rPr>
        <w:t>同期惠州市进口总值的（下同）</w:t>
      </w:r>
      <w:r>
        <w:rPr>
          <w:rFonts w:ascii="Times New Roman" w:hAnsi="Times New Roman" w:hint="eastAsia"/>
          <w:bCs/>
          <w:snapToGrid w:val="0"/>
          <w:kern w:val="0"/>
          <w:szCs w:val="32"/>
        </w:rPr>
        <w:t>70.5</w:t>
      </w:r>
      <w:r>
        <w:rPr>
          <w:rFonts w:ascii="Times New Roman" w:hAnsi="Times New Roman"/>
          <w:bCs/>
          <w:snapToGrid w:val="0"/>
          <w:kern w:val="0"/>
          <w:szCs w:val="32"/>
        </w:rPr>
        <w:t>%。其中，集成电路进口723.7亿元，增长24.9%。同期，原油进口98.3亿元，下降7.6%，占8.3%；成品油进口61亿元，增长13.7%，占5.2%。</w:t>
      </w:r>
    </w:p>
    <w:p>
      <w:pPr>
        <w:pStyle w:val="40"/>
        <w:autoSpaceDN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bCs/>
          <w:snapToGrid w:val="0"/>
          <w:kern w:val="0"/>
          <w:sz w:val="32"/>
          <w:szCs w:val="32"/>
        </w:rPr>
      </w:pP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table of figures"/>
    <w:basedOn w:val="0"/>
    <w:next w:val="0"/>
  </w:style>
  <w:style w:type="character" w:styleId="17">
    <w:name w:val="page number"/>
    <w:basedOn w:val="10"/>
  </w:style>
  <w:style w:type="paragraph" w:styleId="18">
    <w:name w:val="List Continue 2"/>
    <w:basedOn w:val="0"/>
    <w:pPr>
      <w:spacing w:after="120"/>
      <w:ind w:left="840"/>
    </w:pPr>
  </w:style>
  <w:style w:type="paragraph" w:customStyle="1" w:styleId="19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20">
    <w:name w:val="公式样式 文本"/>
    <w:autoRedefine/>
    <w:rPr>
      <w:rFonts w:ascii="Times New Roman" w:eastAsia="宋体" w:cs="Times New Roman" w:hAnsi="Times New Roman"/>
      <w:lang w:val="en-US" w:eastAsia="zh-CN" w:bidi="ar-SA"/>
    </w:rPr>
  </w:style>
  <w:style w:type="paragraph" w:customStyle="1" w:styleId="21">
    <w:name w:val="样式 19 10 磅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">
    <w:name w:val="样式 20 10 磅"/>
    <w:next w:val="2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51 10 磅"/>
    <w:next w:val="16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小四"/>
    <w:rPr>
      <w:rFonts w:ascii="Times New Roman" w:eastAsia="宋体" w:cs="Times New Roman" w:hAnsi="Times New Roman"/>
      <w:sz w:val="24"/>
      <w:szCs w:val="24"/>
      <w:lang w:val="en-US" w:eastAsia="en-US" w:bidi="ar-SA"/>
    </w:rPr>
  </w:style>
  <w:style w:type="paragraph" w:customStyle="1" w:styleId="25">
    <w:name w:val="样式 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46 10 磅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13 10 磅"/>
    <w:next w:val="1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2 三号"/>
    <w:pPr>
      <w:widowControl w:val="0"/>
      <w:jc w:val="both"/>
    </w:pPr>
    <w:rPr>
      <w:rFonts w:ascii="方正仿宋_GBK" w:eastAsia="方正仿宋_GBK" w:cs="Times New Roman"/>
      <w:kern w:val="2"/>
      <w:sz w:val="32"/>
      <w:lang w:val="en-US" w:eastAsia="zh-CN" w:bidi="ar-SA"/>
    </w:rPr>
  </w:style>
  <w:style w:type="paragraph" w:customStyle="1" w:styleId="31">
    <w:name w:val="样式 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3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4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35">
    <w:name w:val="index 7"/>
    <w:basedOn w:val="0"/>
    <w:autoRedefine/>
    <w:next w:val="0"/>
    <w:pPr>
      <w:ind w:left="2520"/>
    </w:pPr>
  </w:style>
  <w:style w:type="paragraph" w:customStyle="1" w:styleId="36">
    <w:name w:val="样式 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7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9">
    <w:name w:val="样式 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">
    <w:name w:val="样式 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">
    <w:name w:val="样式 5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">
    <w:name w:val="样式 6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">
    <w:name w:val="样式 7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">
    <w:name w:val="样式 8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9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">
    <w:name w:val="样式 10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">
    <w:name w:val="样式 1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">
    <w:name w:val="样式 1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">
    <w:name w:val="样式 1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">
    <w:name w:val="样式 1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">
    <w:name w:val="样式 15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7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">
    <w:name w:val="样式 16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">
    <w:name w:val="样式 17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">
    <w:name w:val="样式 18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">
    <w:name w:val="样式 三号"/>
    <w:pPr>
      <w:widowControl w:val="0"/>
      <w:jc w:val="both"/>
    </w:pPr>
    <w:rPr>
      <w:rFonts w:ascii="方正仿宋_GBK" w:eastAsia="方正仿宋_GBK" w:cs="Times New Roman"/>
      <w:kern w:val="2"/>
      <w:sz w:val="32"/>
      <w:lang w:val="en-US" w:eastAsia="zh-CN" w:bidi="ar-SA"/>
    </w:rPr>
  </w:style>
  <w:style w:type="paragraph" w:customStyle="1" w:styleId="66">
    <w:name w:val="样式 1 三号"/>
    <w:pPr>
      <w:widowControl w:val="0"/>
      <w:jc w:val="both"/>
    </w:pPr>
    <w:rPr>
      <w:rFonts w:ascii="方正仿宋_GBK" w:eastAsia="方正仿宋_GBK" w:cs="Times New Roman"/>
      <w:kern w:val="2"/>
      <w:sz w:val="32"/>
      <w:lang w:val="en-US" w:eastAsia="zh-CN" w:bidi="ar-SA"/>
    </w:rPr>
  </w:style>
  <w:style w:type="paragraph" w:customStyle="1" w:styleId="67">
    <w:name w:val="样式 3 三号"/>
    <w:pPr>
      <w:widowControl w:val="0"/>
      <w:jc w:val="both"/>
    </w:pPr>
    <w:rPr>
      <w:rFonts w:ascii="方正仿宋_GBK" w:eastAsia="方正仿宋_GBK" w:cs="Times New Roman"/>
      <w:kern w:val="2"/>
      <w:sz w:val="32"/>
      <w:lang w:val="en-US" w:eastAsia="zh-CN" w:bidi="ar-SA"/>
    </w:rPr>
  </w:style>
  <w:style w:type="paragraph" w:customStyle="1" w:styleId="68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0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">
    <w:name w:val="样式 19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73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4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5">
    <w:name w:val="Balloon Text"/>
    <w:basedOn w:val="0"/>
    <w:rPr>
      <w:sz w:val="18"/>
      <w:szCs w:val="18"/>
    </w:rPr>
  </w:style>
  <w:style w:type="paragraph" w:customStyle="1" w:styleId="76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168</TotalTime>
  <Application>Yozo_Office</Application>
  <Pages>2</Pages>
  <Words>691</Words>
  <Characters>1015</Characters>
  <Lines>79</Lines>
  <Paragraphs>54</Paragraphs>
  <CharactersWithSpaces>1046</CharactersWithSpaces>
  <Company>sz.intra.customs.gov.cn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深圳海关</dc:creator>
  <cp:lastModifiedBy>林静怡</cp:lastModifiedBy>
  <cp:revision>5</cp:revision>
  <dcterms:created xsi:type="dcterms:W3CDTF">2026-08-10T09:37:00Z</dcterms:created>
  <dcterms:modified xsi:type="dcterms:W3CDTF">2026-08-25T09:29:29Z</dcterms:modified>
</cp:coreProperties>
</file>