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4"/>
        <w:autoSpaceDN w:val="0"/>
        <w:spacing w:line="560" w:lineRule="exact"/>
        <w:jc w:val="center"/>
        <w:rPr>
          <w:rFonts w:ascii="方正小标宋_GBK" w:eastAsia="方正小标宋_GBK" w:cs="Times New Roman"/>
          <w:snapToGrid w:val="0"/>
          <w:kern w:val="0"/>
          <w:sz w:val="40"/>
          <w:szCs w:val="44"/>
        </w:rPr>
      </w:pPr>
      <w:bookmarkStart w:id="0" w:name="_GoBack"/>
      <w:bookmarkEnd w:id="0"/>
      <w:r>
        <w:rPr>
          <w:rFonts w:ascii="方正小标宋_GBK" w:eastAsia="方正小标宋_GBK" w:cs="Times New Roman" w:hint="eastAsia"/>
          <w:snapToGrid w:val="0"/>
          <w:kern w:val="0"/>
          <w:sz w:val="40"/>
          <w:szCs w:val="44"/>
        </w:rPr>
        <w:t>2026年前7个月深圳对东盟进出口情况</w:t>
      </w:r>
    </w:p>
    <w:p>
      <w:pPr>
        <w:pStyle w:val="17"/>
        <w:snapToGrid w:val="0"/>
        <w:spacing w:line="560" w:lineRule="exact"/>
        <w:ind w:firstLine="200"/>
        <w:rPr>
          <w:snapToGrid w:val="0"/>
          <w:kern w:val="0"/>
        </w:rPr>
      </w:pPr>
    </w:p>
    <w:p>
      <w:pPr>
        <w:pStyle w:val="24"/>
        <w:autoSpaceDN w:val="0"/>
        <w:snapToGrid w:val="0"/>
        <w:spacing w:line="560" w:lineRule="exact"/>
        <w:ind w:firstLineChars="200" w:firstLine="632"/>
        <w:rPr>
          <w:rFonts w:ascii="Times New Roman" w:eastAsia="方正仿宋_GBK" w:hAnsi="Times New Roman"/>
          <w:snapToGrid w:val="0"/>
          <w:kern w:val="0"/>
          <w:sz w:val="32"/>
        </w:rPr>
      </w:pPr>
      <w:r>
        <w:rPr>
          <w:rFonts w:ascii="Times New Roman" w:eastAsia="方正仿宋_GBK" w:hAnsi="Times New Roman" w:hint="eastAsia"/>
          <w:snapToGrid w:val="0"/>
          <w:kern w:val="0"/>
          <w:sz w:val="32"/>
        </w:rPr>
        <w:t>据海关统计，</w:t>
      </w:r>
      <w:r>
        <w:rPr>
          <w:rFonts w:ascii="Times New Roman" w:eastAsia="方正仿宋_GBK" w:hAnsi="Times New Roman"/>
          <w:snapToGrid w:val="0"/>
          <w:kern w:val="0"/>
          <w:sz w:val="32"/>
        </w:rPr>
        <w:t>2026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年前</w:t>
      </w:r>
      <w:r>
        <w:rPr>
          <w:rFonts w:ascii="Times New Roman" w:eastAsia="方正仿宋_GBK" w:hAnsi="Times New Roman"/>
          <w:snapToGrid w:val="0"/>
          <w:kern w:val="0"/>
          <w:sz w:val="32"/>
        </w:rPr>
        <w:t>7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个月，深圳市对东盟进出口</w:t>
      </w:r>
      <w:r>
        <w:rPr>
          <w:rFonts w:ascii="Times New Roman" w:eastAsia="方正仿宋_GBK" w:hAnsi="Times New Roman"/>
          <w:snapToGrid w:val="0"/>
          <w:kern w:val="0"/>
          <w:sz w:val="32"/>
        </w:rPr>
        <w:t>5067.7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亿元，同比（下同）增长</w:t>
      </w:r>
      <w:r>
        <w:rPr>
          <w:rFonts w:ascii="Times New Roman" w:eastAsia="方正仿宋_GBK" w:hAnsi="Times New Roman"/>
          <w:snapToGrid w:val="0"/>
          <w:kern w:val="0"/>
          <w:sz w:val="32"/>
        </w:rPr>
        <w:t>20.5%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，占全国对东盟进出口总值的9.9%。其中，出口</w:t>
      </w:r>
      <w:r>
        <w:rPr>
          <w:rFonts w:ascii="Times New Roman" w:eastAsia="方正仿宋_GBK" w:hAnsi="Times New Roman"/>
          <w:snapToGrid w:val="0"/>
          <w:kern w:val="0"/>
          <w:sz w:val="32"/>
        </w:rPr>
        <w:t>2432.4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亿元，增长</w:t>
      </w:r>
      <w:r>
        <w:rPr>
          <w:rFonts w:ascii="Times New Roman" w:eastAsia="方正仿宋_GBK" w:hAnsi="Times New Roman"/>
          <w:snapToGrid w:val="0"/>
          <w:kern w:val="0"/>
          <w:sz w:val="32"/>
        </w:rPr>
        <w:t>6.5%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；进口</w:t>
      </w:r>
      <w:r>
        <w:rPr>
          <w:rFonts w:ascii="Times New Roman" w:eastAsia="方正仿宋_GBK" w:hAnsi="Times New Roman"/>
          <w:snapToGrid w:val="0"/>
          <w:kern w:val="0"/>
          <w:sz w:val="32"/>
        </w:rPr>
        <w:t>2635.3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亿元，增长</w:t>
      </w:r>
      <w:r>
        <w:rPr>
          <w:rFonts w:ascii="Times New Roman" w:eastAsia="方正仿宋_GBK" w:hAnsi="Times New Roman"/>
          <w:snapToGrid w:val="0"/>
          <w:kern w:val="0"/>
          <w:sz w:val="32"/>
        </w:rPr>
        <w:t>37.1%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。主要呈现以下特点：</w:t>
      </w:r>
    </w:p>
    <w:p>
      <w:pPr>
        <w:pStyle w:val="26"/>
        <w:autoSpaceDN w:val="0"/>
        <w:snapToGrid w:val="0"/>
        <w:spacing w:line="560" w:lineRule="exact"/>
        <w:ind w:firstLineChars="200" w:firstLine="632"/>
        <w:rPr>
          <w:rFonts w:ascii="Times New Roman" w:eastAsia="方正仿宋_GBK" w:hAnsi="Times New Roman"/>
          <w:snapToGrid w:val="0"/>
          <w:kern w:val="0"/>
          <w:sz w:val="32"/>
        </w:rPr>
      </w:pPr>
      <w:r>
        <w:rPr>
          <w:rFonts w:ascii="方正楷体_GBK" w:eastAsia="方正楷体_GBK" w:cs="Times New Roman" w:hint="eastAsia"/>
          <w:b/>
          <w:bCs/>
          <w:snapToGrid w:val="0"/>
          <w:kern w:val="0"/>
          <w:sz w:val="32"/>
          <w:szCs w:val="32"/>
        </w:rPr>
        <w:t>一是一般贸易占比过半，保税物流快速增长。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前</w:t>
      </w:r>
      <w:r>
        <w:rPr>
          <w:rFonts w:ascii="Times New Roman" w:eastAsia="方正仿宋_GBK" w:hAnsi="Times New Roman"/>
          <w:snapToGrid w:val="0"/>
          <w:kern w:val="0"/>
          <w:sz w:val="32"/>
        </w:rPr>
        <w:t>7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个月，深圳市以一般贸易方式对东盟进出口</w:t>
      </w:r>
      <w:r>
        <w:rPr>
          <w:rFonts w:ascii="Times New Roman" w:eastAsia="方正仿宋_GBK" w:hAnsi="Times New Roman"/>
          <w:snapToGrid w:val="0"/>
          <w:kern w:val="0"/>
          <w:sz w:val="32"/>
        </w:rPr>
        <w:t>2851.2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亿元，增长</w:t>
      </w:r>
      <w:r>
        <w:rPr>
          <w:rFonts w:ascii="Times New Roman" w:eastAsia="方正仿宋_GBK" w:hAnsi="Times New Roman"/>
          <w:snapToGrid w:val="0"/>
          <w:kern w:val="0"/>
          <w:sz w:val="32"/>
        </w:rPr>
        <w:t>10.8%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，占同期深圳市对东盟进出口总值的（下同）</w:t>
      </w:r>
      <w:r>
        <w:rPr>
          <w:rFonts w:ascii="Times New Roman" w:eastAsia="方正仿宋_GBK" w:hAnsi="Times New Roman"/>
          <w:snapToGrid w:val="0"/>
          <w:kern w:val="0"/>
          <w:sz w:val="32"/>
        </w:rPr>
        <w:t>56.3%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。同期，以保税物流方式进出口</w:t>
      </w:r>
      <w:r>
        <w:rPr>
          <w:rFonts w:ascii="Times New Roman" w:eastAsia="方正仿宋_GBK" w:hAnsi="Times New Roman"/>
          <w:snapToGrid w:val="0"/>
          <w:kern w:val="0"/>
          <w:sz w:val="32"/>
        </w:rPr>
        <w:t>1649.8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亿元，增长</w:t>
      </w:r>
      <w:r>
        <w:rPr>
          <w:rFonts w:ascii="Times New Roman" w:eastAsia="方正仿宋_GBK" w:hAnsi="Times New Roman"/>
          <w:snapToGrid w:val="0"/>
          <w:kern w:val="0"/>
          <w:sz w:val="32"/>
        </w:rPr>
        <w:t>55.5%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，占</w:t>
      </w:r>
      <w:r>
        <w:rPr>
          <w:rFonts w:ascii="Times New Roman" w:eastAsia="方正仿宋_GBK" w:hAnsi="Times New Roman"/>
          <w:snapToGrid w:val="0"/>
          <w:kern w:val="0"/>
          <w:sz w:val="32"/>
        </w:rPr>
        <w:t>32.6%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。此外，加工贸易进出口</w:t>
      </w:r>
      <w:r>
        <w:rPr>
          <w:rFonts w:ascii="Times New Roman" w:eastAsia="方正仿宋_GBK" w:hAnsi="Times New Roman"/>
          <w:snapToGrid w:val="0"/>
          <w:kern w:val="0"/>
          <w:sz w:val="32"/>
        </w:rPr>
        <w:t>552.4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亿元，下降</w:t>
      </w:r>
      <w:r>
        <w:rPr>
          <w:rFonts w:ascii="Times New Roman" w:eastAsia="方正仿宋_GBK" w:hAnsi="Times New Roman"/>
          <w:snapToGrid w:val="0"/>
          <w:kern w:val="0"/>
          <w:sz w:val="32"/>
        </w:rPr>
        <w:t>1.1%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。</w:t>
      </w:r>
    </w:p>
    <w:p>
      <w:pPr>
        <w:pStyle w:val="26"/>
        <w:autoSpaceDN w:val="0"/>
        <w:snapToGrid w:val="0"/>
        <w:spacing w:line="560" w:lineRule="exact"/>
        <w:ind w:firstLineChars="200" w:firstLine="632"/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snapToGrid w:val="0"/>
          <w:kern w:val="0"/>
          <w:sz w:val="32"/>
          <w:szCs w:val="32"/>
        </w:rPr>
        <w:t>二</w:t>
      </w:r>
      <w:r>
        <w:rPr>
          <w:rFonts w:ascii="方正楷体_GBK" w:eastAsia="方正楷体_GBK" w:cs="Times New Roman"/>
          <w:b/>
          <w:bCs/>
          <w:snapToGrid w:val="0"/>
          <w:kern w:val="0"/>
          <w:sz w:val="32"/>
          <w:szCs w:val="32"/>
        </w:rPr>
        <w:t>是</w:t>
      </w:r>
      <w:r>
        <w:rPr>
          <w:rFonts w:ascii="方正楷体_GBK" w:eastAsia="方正楷体_GBK" w:cs="Times New Roman" w:hint="eastAsia"/>
          <w:b/>
          <w:bCs/>
          <w:snapToGrid w:val="0"/>
          <w:kern w:val="0"/>
          <w:sz w:val="32"/>
          <w:szCs w:val="32"/>
        </w:rPr>
        <w:t>民营企业为最大贸易主体，外商投资企业</w:t>
      </w:r>
      <w:r>
        <w:rPr>
          <w:rFonts w:ascii="方正楷体_GBK" w:eastAsia="方正楷体_GBK" w:cs="Times New Roman"/>
          <w:b/>
          <w:bCs/>
          <w:snapToGrid w:val="0"/>
          <w:kern w:val="0"/>
          <w:sz w:val="32"/>
          <w:szCs w:val="32"/>
        </w:rPr>
        <w:t>连续三年</w:t>
      </w:r>
      <w:r>
        <w:rPr>
          <w:rFonts w:ascii="方正楷体_GBK" w:eastAsia="方正楷体_GBK" w:cs="Times New Roman" w:hint="eastAsia"/>
          <w:b/>
          <w:bCs/>
          <w:snapToGrid w:val="0"/>
          <w:kern w:val="0"/>
          <w:sz w:val="32"/>
          <w:szCs w:val="32"/>
        </w:rPr>
        <w:t>保持增长。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</w:rPr>
        <w:t>前7个月，深圳市民营企业对东盟进出口3937.5亿元，增长26.1%，占77.7%。同期，外商投资企业进出口1074.2亿元，增长19.3%，占21.2%。</w:t>
      </w:r>
    </w:p>
    <w:p>
      <w:pPr>
        <w:pStyle w:val="26"/>
        <w:autoSpaceDN w:val="0"/>
        <w:snapToGrid w:val="0"/>
        <w:spacing w:line="560" w:lineRule="exact"/>
        <w:ind w:firstLineChars="200" w:firstLine="632"/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snapToGrid w:val="0"/>
          <w:kern w:val="0"/>
          <w:sz w:val="32"/>
          <w:szCs w:val="32"/>
        </w:rPr>
        <w:t>三是对越南、泰国、马来西亚进出口合计占比近七成。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</w:rPr>
        <w:t>前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7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</w:rPr>
        <w:t>个月，深圳市对东盟前两大贸易伙伴越南、泰国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分别进出口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1791.8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亿、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845.8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亿元，增长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40.1%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、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27.1%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。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</w:rPr>
        <w:t>同期，对马来西亚进出口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728.1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亿元，下降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21.3 %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。上述前三大贸易伙伴合计占66.4%。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</w:rPr>
        <w:t>此外，对新加坡、菲律宾分别进出口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720.7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</w:rPr>
        <w:t>亿、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549.4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</w:rPr>
        <w:t>亿元，增长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37.9%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</w:rPr>
        <w:t>、</w:t>
      </w:r>
      <w:r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  <w:t>45%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呈现较快增长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。</w:t>
      </w:r>
    </w:p>
    <w:p>
      <w:pPr>
        <w:pStyle w:val="34"/>
        <w:adjustRightInd w:val="0"/>
        <w:snapToGrid w:val="0"/>
        <w:spacing w:beforeLines="50" w:before="290" w:afterLines="50" w:after="290" w:line="400" w:lineRule="exact"/>
        <w:jc w:val="center"/>
        <w:rPr>
          <w:rFonts w:ascii="方正黑体_GBK" w:eastAsia="方正黑体_GBK"/>
          <w:sz w:val="28"/>
        </w:rPr>
      </w:pPr>
      <w:r>
        <w:rPr>
          <w:rFonts w:ascii="方正黑体_GBK" w:eastAsia="方正黑体_GBK" w:hint="eastAsia"/>
          <w:sz w:val="28"/>
        </w:rPr>
        <w:t>2026年前7个月深圳市对东盟国家进出口情况表</w:t>
      </w:r>
    </w:p>
    <w:p>
      <w:pPr>
        <w:pStyle w:val="34"/>
        <w:adjustRightInd w:val="0"/>
        <w:snapToGrid w:val="0"/>
        <w:spacing w:line="400" w:lineRule="exact"/>
        <w:jc w:val="right"/>
        <w:rPr>
          <w:rFonts w:eastAsia="方正黑体_GBK" w:hint="eastAsia"/>
          <w:sz w:val="24"/>
          <w:szCs w:val="24"/>
        </w:rPr>
      </w:pPr>
      <w:r>
        <w:rPr>
          <w:rFonts w:hint="eastAsia"/>
          <w:bCs/>
          <w:sz w:val="24"/>
          <w:szCs w:val="24"/>
        </w:rPr>
        <w:t>单位：亿元人民币，</w:t>
      </w:r>
      <w:r>
        <w:rPr>
          <w:bCs/>
          <w:sz w:val="24"/>
          <w:szCs w:val="24"/>
        </w:rPr>
        <w:t>%</w:t>
      </w:r>
      <w:r>
        <w:rPr>
          <w:rFonts w:hint="eastAsia"/>
          <w:bCs/>
          <w:sz w:val="24"/>
          <w:szCs w:val="24"/>
        </w:rPr>
        <w:t>，</w:t>
      </w:r>
      <w:r>
        <w:rPr>
          <w:bCs/>
          <w:sz w:val="24"/>
          <w:szCs w:val="24"/>
        </w:rPr>
        <w:t>%</w:t>
      </w:r>
    </w:p>
    <w:tbl>
      <w:tblPr>
        <w:jc w:val="center"/>
        <w:tblW w:w="3063" w:type="pct"/>
        <w:tbl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outset" w:sz="6" w:space="0" w:color="auto"/>
          <w:insideV w:val="outset" w:sz="6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566"/>
        <w:gridCol w:w="970"/>
        <w:gridCol w:w="948"/>
      </w:tblGrid>
      <w:tr>
        <w:trPr>
          <w:trHeight w:val="315"/>
        </w:trPr>
        <w:tc>
          <w:tcPr>
            <w:tcW w:w="1663" w:type="pct"/>
            <w:vMerge w:val="restart"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</w:tcBorders>
            <w:shd w:val="clear" w:color="auto" w:fill="4BACC6"/>
            <w:vAlign w:val="center"/>
          </w:tcPr>
          <w:p>
            <w:pPr>
              <w:pStyle w:val="3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贸易伙伴</w:t>
            </w:r>
          </w:p>
        </w:tc>
        <w:tc>
          <w:tcPr>
            <w:tcW w:w="3337" w:type="pct"/>
            <w:gridSpan w:val="3"/>
            <w:tcBorders>
              <w:top w:val="single" w:sz="8" w:space="0" w:color="CCE8CF"/>
              <w:left w:val="single" w:sz="8" w:space="0" w:color="CCE8CF"/>
              <w:bottom w:val="single" w:sz="24" w:space="0" w:color="CCE8CF"/>
              <w:right w:val="single" w:sz="8" w:space="0" w:color="CCE8CF"/>
            </w:tcBorders>
            <w:shd w:val="clear" w:color="auto" w:fill="4BACC6"/>
          </w:tcPr>
          <w:p>
            <w:pPr>
              <w:pStyle w:val="3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  <w:r>
              <w:rPr>
                <w:b/>
                <w:bCs/>
                <w:color w:val="000000"/>
                <w:sz w:val="22"/>
                <w:szCs w:val="20"/>
              </w:rPr>
              <w:t>02</w:t>
            </w:r>
            <w:r>
              <w:rPr>
                <w:rFonts w:hint="eastAsia"/>
                <w:b/>
                <w:bCs/>
                <w:color w:val="000000"/>
                <w:sz w:val="22"/>
                <w:szCs w:val="20"/>
              </w:rPr>
              <w:t>6年前7个月</w:t>
            </w:r>
          </w:p>
        </w:tc>
      </w:tr>
      <w:tr>
        <w:trPr>
          <w:trHeight w:val="315"/>
        </w:trPr>
        <w:tc>
          <w:tcPr>
            <w:vMerge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</w:tcBorders>
            <w:vAlign w:val="center"/>
          </w:tcPr>
          <w:p/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34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进出口值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34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同比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34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占比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越南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1791.8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40.1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35.4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泰国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845.8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27.1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16.7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马来西亚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728.1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-21.3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14.4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新加坡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720.7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37.9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14.2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菲律宾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549.4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45.0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10.8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印度尼西亚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328.5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7.4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6.5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柬埔寨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69.3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-0.7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1.4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缅甸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24.7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-40.7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0.5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老挝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7.1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-55.7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0.1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文莱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2.0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24.9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0.04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8" w:space="0" w:color="CCE8CF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东帝汶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0.4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-58.3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right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0.01</w:t>
            </w:r>
          </w:p>
        </w:tc>
      </w:tr>
    </w:tbl>
    <w:p>
      <w:pPr>
        <w:pStyle w:val="26"/>
        <w:autoSpaceDN w:val="0"/>
        <w:snapToGrid w:val="0"/>
        <w:spacing w:line="560" w:lineRule="exact"/>
        <w:ind w:firstLineChars="200" w:firstLine="632"/>
        <w:rPr>
          <w:rFonts w:ascii="Times New Roman" w:eastAsia="方正仿宋_GBK" w:hAnsi="Times New Roman"/>
          <w:snapToGrid w:val="0"/>
          <w:kern w:val="0"/>
          <w:sz w:val="32"/>
          <w:szCs w:val="32"/>
        </w:rPr>
      </w:pPr>
    </w:p>
    <w:p>
      <w:pPr>
        <w:pStyle w:val="36"/>
        <w:snapToGrid w:val="0"/>
        <w:spacing w:line="560" w:lineRule="exact"/>
        <w:ind w:firstLineChars="200" w:firstLine="632"/>
        <w:rPr>
          <w:rFonts w:ascii="Times New Roman" w:eastAsia="方正仿宋_GBK" w:hAnsi="Times New Roman"/>
          <w:snapToGrid w:val="0"/>
          <w:kern w:val="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snapToGrid w:val="0"/>
          <w:kern w:val="0"/>
          <w:sz w:val="32"/>
          <w:szCs w:val="32"/>
        </w:rPr>
        <w:t>四是机电产品出口占比超7成，电子元件、电脑零部件增速较快。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前</w:t>
      </w:r>
      <w:r>
        <w:rPr>
          <w:rFonts w:ascii="Times New Roman" w:eastAsia="方正仿宋_GBK" w:hAnsi="Times New Roman"/>
          <w:snapToGrid w:val="0"/>
          <w:kern w:val="0"/>
          <w:sz w:val="32"/>
        </w:rPr>
        <w:t>7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个月，深圳市对东盟出口机电产品</w:t>
      </w:r>
      <w:r>
        <w:rPr>
          <w:rFonts w:ascii="Times New Roman" w:eastAsia="方正仿宋_GBK" w:hAnsi="Times New Roman"/>
          <w:snapToGrid w:val="0"/>
          <w:kern w:val="0"/>
          <w:sz w:val="32"/>
        </w:rPr>
        <w:t>1833.6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亿元，增长</w:t>
      </w:r>
      <w:r>
        <w:rPr>
          <w:rFonts w:ascii="Times New Roman" w:eastAsia="方正仿宋_GBK" w:hAnsi="Times New Roman"/>
          <w:snapToGrid w:val="0"/>
          <w:kern w:val="0"/>
          <w:sz w:val="32"/>
        </w:rPr>
        <w:t>17.5%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，占同期深圳市对欧盟出口总值的（下同）</w:t>
      </w:r>
      <w:r>
        <w:rPr>
          <w:rFonts w:ascii="Times New Roman" w:eastAsia="方正仿宋_GBK" w:hAnsi="Times New Roman"/>
          <w:snapToGrid w:val="0"/>
          <w:kern w:val="0"/>
          <w:sz w:val="32"/>
        </w:rPr>
        <w:t>75.4%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。其中，电工器材、电子元件、</w:t>
      </w:r>
      <w:r>
        <w:rPr>
          <w:rFonts w:ascii="Times New Roman" w:eastAsia="方正仿宋_GBK" w:hAnsi="Times New Roman" w:hint="eastAsia"/>
          <w:bCs/>
          <w:snapToGrid w:val="0"/>
          <w:kern w:val="0"/>
          <w:sz w:val="32"/>
          <w:szCs w:val="32"/>
        </w:rPr>
        <w:t>电脑零部件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分别出口</w:t>
      </w:r>
      <w:r>
        <w:rPr>
          <w:rFonts w:ascii="Times New Roman" w:eastAsia="方正仿宋_GBK" w:hAnsi="Times New Roman"/>
          <w:snapToGrid w:val="0"/>
          <w:kern w:val="0"/>
          <w:sz w:val="32"/>
        </w:rPr>
        <w:t>235.9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亿、211.3亿、173.9亿元，分别增长</w:t>
      </w:r>
      <w:r>
        <w:rPr>
          <w:rFonts w:ascii="Times New Roman" w:eastAsia="方正仿宋_GBK" w:hAnsi="Times New Roman"/>
          <w:snapToGrid w:val="0"/>
          <w:kern w:val="0"/>
          <w:sz w:val="32"/>
        </w:rPr>
        <w:t>16.7%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、24.2%、60.8</w:t>
      </w:r>
      <w:r>
        <w:rPr>
          <w:rFonts w:ascii="Times New Roman" w:eastAsia="方正仿宋_GBK" w:hAnsi="Times New Roman"/>
          <w:snapToGrid w:val="0"/>
          <w:kern w:val="0"/>
          <w:sz w:val="32"/>
        </w:rPr>
        <w:t>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。</w:t>
      </w:r>
      <w:r>
        <w:rPr>
          <w:rFonts w:ascii="Times New Roman" w:eastAsia="方正仿宋_GBK" w:cs="Times New Roman" w:hAnsi="Times New Roman" w:hint="eastAsia"/>
          <w:snapToGrid w:val="0"/>
          <w:kern w:val="0"/>
          <w:sz w:val="32"/>
          <w:szCs w:val="32"/>
        </w:rPr>
        <w:t>同期，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出口劳动密集型产品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255.7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亿元，下降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26.4%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，占10.5%。</w:t>
      </w:r>
    </w:p>
    <w:p>
      <w:pPr>
        <w:pStyle w:val="37"/>
        <w:autoSpaceDN w:val="0"/>
        <w:snapToGrid w:val="0"/>
        <w:spacing w:line="560" w:lineRule="exact"/>
        <w:ind w:firstLineChars="200" w:firstLine="632"/>
        <w:rPr>
          <w:rFonts w:ascii="Times New Roman" w:eastAsia="方正仿宋_GBK" w:hAnsi="Times New Roman"/>
          <w:snapToGrid w:val="0"/>
          <w:kern w:val="0"/>
          <w:sz w:val="32"/>
        </w:rPr>
      </w:pPr>
      <w:r>
        <w:rPr>
          <w:rFonts w:ascii="方正楷体_GBK" w:eastAsia="方正楷体_GBK" w:cs="Times New Roman" w:hint="eastAsia"/>
          <w:b/>
          <w:bCs/>
          <w:snapToGrid w:val="0"/>
          <w:kern w:val="0"/>
          <w:sz w:val="32"/>
          <w:szCs w:val="32"/>
        </w:rPr>
        <w:t>五是机电产品进口占比近9成，电脑零部件进口倍增。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前</w:t>
      </w:r>
      <w:r>
        <w:rPr>
          <w:rFonts w:ascii="Times New Roman" w:eastAsia="方正仿宋_GBK" w:hAnsi="Times New Roman"/>
          <w:snapToGrid w:val="0"/>
          <w:kern w:val="0"/>
          <w:sz w:val="32"/>
        </w:rPr>
        <w:t>7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个月，深圳市自东盟进口机电产品</w:t>
      </w:r>
      <w:r>
        <w:rPr>
          <w:rFonts w:ascii="Times New Roman" w:eastAsia="方正仿宋_GBK" w:hAnsi="Times New Roman"/>
          <w:snapToGrid w:val="0"/>
          <w:kern w:val="0"/>
          <w:sz w:val="32"/>
        </w:rPr>
        <w:t>2327.9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亿元，增长</w:t>
      </w:r>
      <w:r>
        <w:rPr>
          <w:rFonts w:ascii="Times New Roman" w:eastAsia="方正仿宋_GBK" w:hAnsi="Times New Roman"/>
          <w:snapToGrid w:val="0"/>
          <w:kern w:val="0"/>
          <w:sz w:val="32"/>
        </w:rPr>
        <w:t>40.1%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，占同期深圳市自东盟进口总值的（下同）</w:t>
      </w:r>
      <w:r>
        <w:rPr>
          <w:rFonts w:ascii="Times New Roman" w:eastAsia="方正仿宋_GBK" w:hAnsi="Times New Roman"/>
          <w:snapToGrid w:val="0"/>
          <w:kern w:val="0"/>
          <w:sz w:val="32"/>
        </w:rPr>
        <w:t>88.3%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。其中，电脑零部件进口1341.8亿元，大幅增长</w:t>
      </w:r>
      <w:r>
        <w:rPr>
          <w:rFonts w:ascii="Times New Roman" w:eastAsia="方正仿宋_GBK" w:hAnsi="Times New Roman"/>
          <w:snapToGrid w:val="0"/>
          <w:kern w:val="0"/>
          <w:sz w:val="32"/>
        </w:rPr>
        <w:t>158.4%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；进口有线网络接口卡161.6亿元，增长110.6%。同期，农产品进口</w:t>
      </w:r>
      <w:r>
        <w:rPr>
          <w:rFonts w:ascii="Times New Roman" w:eastAsia="方正仿宋_GBK" w:hAnsi="Times New Roman"/>
          <w:snapToGrid w:val="0"/>
          <w:kern w:val="0"/>
          <w:sz w:val="32"/>
        </w:rPr>
        <w:t>144.2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亿元，下降</w:t>
      </w:r>
      <w:r>
        <w:rPr>
          <w:rFonts w:ascii="Times New Roman" w:eastAsia="方正仿宋_GBK" w:hAnsi="Times New Roman"/>
          <w:snapToGrid w:val="0"/>
          <w:kern w:val="0"/>
          <w:sz w:val="32"/>
        </w:rPr>
        <w:t>9%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，占</w:t>
      </w:r>
      <w:r>
        <w:rPr>
          <w:rFonts w:ascii="Times New Roman" w:eastAsia="方正仿宋_GBK" w:hAnsi="Times New Roman"/>
          <w:snapToGrid w:val="0"/>
          <w:kern w:val="0"/>
          <w:sz w:val="32"/>
        </w:rPr>
        <w:t>5.5%</w:t>
      </w:r>
      <w:r>
        <w:rPr>
          <w:rFonts w:ascii="Times New Roman" w:eastAsia="方正仿宋_GBK" w:hAnsi="Times New Roman" w:hint="eastAsia"/>
          <w:snapToGrid w:val="0"/>
          <w:kern w:val="0"/>
          <w:sz w:val="32"/>
        </w:rPr>
        <w:t>。</w:t>
      </w:r>
    </w:p>
    <w:p>
      <w:pPr>
        <w:pStyle w:val="41"/>
        <w:spacing w:line="560" w:lineRule="exact"/>
        <w:ind w:firstLineChars="200" w:firstLine="632"/>
        <w:rPr>
          <w:rFonts w:ascii="Times New Roman" w:eastAsia="方正仿宋_GBK" w:cs="Times New Roman" w:hAnsi="Times New Roman"/>
          <w:snapToGrid w:val="0"/>
          <w:kern w:val="0"/>
          <w:sz w:val="32"/>
          <w:szCs w:val="32"/>
        </w:rPr>
      </w:pPr>
    </w:p>
    <w:sectPr>
      <w:pgSz w:w="11907" w:h="16840"/>
      <w:pgMar w:top="1440" w:right="1800" w:bottom="1440" w:left="1800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</w:rPr>
  </w:style>
  <w:style w:type="character" w:default="1" w:styleId="10">
    <w:name w:val="Default Paragraph Font"/>
  </w:style>
  <w:style w:type="paragraph" w:styleId="15">
    <w:name w:val="index 8"/>
    <w:basedOn w:val="0"/>
    <w:autoRedefine/>
    <w:next w:val="0"/>
    <w:pPr>
      <w:ind w:left="2940"/>
    </w:pPr>
  </w:style>
  <w:style w:type="paragraph" w:styleId="16">
    <w:name w:val="index 9"/>
    <w:basedOn w:val="0"/>
    <w:autoRedefine/>
    <w:next w:val="0"/>
    <w:pPr>
      <w:ind w:left="3360"/>
    </w:pPr>
  </w:style>
  <w:style w:type="paragraph" w:styleId="17">
    <w:name w:val="toc 5"/>
    <w:basedOn w:val="0"/>
    <w:autoRedefine/>
    <w:next w:val="0"/>
    <w:pPr>
      <w:ind w:left="1680"/>
    </w:pPr>
  </w:style>
  <w:style w:type="paragraph" w:styleId="18">
    <w:name w:val="footnote text"/>
    <w:next w:val="21"/>
    <w:pPr>
      <w:widowControl w:val="0"/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0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1">
    <w:name w:val="envelope return"/>
    <w:basedOn w:val="0"/>
    <w:pPr>
      <w:snapToGrid w:val="0"/>
    </w:pPr>
    <w:rPr>
      <w:rFonts w:ascii="Arial" w:hAnsi="Arial"/>
    </w:rPr>
  </w:style>
  <w:style w:type="character" w:styleId="22">
    <w:name w:val="footnote reference"/>
    <w:rPr>
      <w:vertAlign w:val="superscript"/>
    </w:rPr>
  </w:style>
  <w:style w:type="character" w:styleId="23">
    <w:name w:val="page number"/>
    <w:basedOn w:val="10"/>
  </w:style>
  <w:style w:type="paragraph" w:customStyle="1" w:styleId="24">
    <w:name w:val="样式 2 10 磅"/>
    <w:next w:val="1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小五"/>
    <w:pPr>
      <w:widowControl w:val="0"/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1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1 小五"/>
    <w:pPr>
      <w:widowControl w:val="0"/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4">
    <w:name w:val="样式"/>
    <w:rPr>
      <w:rFonts w:ascii="Times New Roman" w:eastAsia="宋体" w:cs="Times New Roman" w:hAnsi="Times New Roman"/>
      <w:vertAlign w:val="superscript"/>
      <w:lang w:val="en-US" w:eastAsia="zh-CN" w:bidi="ar-SA"/>
    </w:rPr>
  </w:style>
  <w:style w:type="paragraph" w:customStyle="1" w:styleId="45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2 小五"/>
    <w:pPr>
      <w:widowControl w:val="0"/>
      <w:snapToGrid w:val="0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customStyle="1" w:styleId="47">
    <w:name w:val="样式 1"/>
    <w:rPr>
      <w:rFonts w:ascii="Times New Roman" w:eastAsia="宋体" w:cs="Times New Roman" w:hAnsi="Times New Roman"/>
      <w:vertAlign w:val="superscript"/>
      <w:lang w:val="en-US" w:eastAsia="zh-CN" w:bidi="ar-SA"/>
    </w:rPr>
  </w:style>
  <w:style w:type="paragraph" w:customStyle="1" w:styleId="48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2"/>
    <w:rPr>
      <w:rFonts w:ascii="Times New Roman" w:eastAsia="宋体" w:cs="Times New Roman" w:hAnsi="Times New Roman"/>
      <w:vertAlign w:val="superscript"/>
      <w:lang w:val="en-US" w:eastAsia="zh-CN" w:bidi="ar-SA"/>
    </w:rPr>
  </w:style>
  <w:style w:type="paragraph" w:customStyle="1" w:styleId="50">
    <w:name w:val="样式 3 小五"/>
    <w:pPr>
      <w:widowControl w:val="0"/>
      <w:snapToGrid w:val="0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customStyle="1" w:styleId="51">
    <w:name w:val="样式 3"/>
    <w:rPr>
      <w:rFonts w:ascii="Times New Roman" w:eastAsia="宋体" w:cs="Times New Roman" w:hAnsi="Times New Roman"/>
      <w:vertAlign w:val="superscript"/>
      <w:lang w:val="en-US" w:eastAsia="zh-CN" w:bidi="ar-SA"/>
    </w:rPr>
  </w:style>
  <w:style w:type="paragraph" w:styleId="52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</TotalTime>
  <Application>Yozo_Office</Application>
  <Pages>2</Pages>
  <Words>804</Words>
  <Characters>1137</Characters>
  <Lines>86</Lines>
  <Paragraphs>58</Paragraphs>
  <CharactersWithSpaces>1138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叶尔珊</dc:creator>
  <cp:lastModifiedBy>林静怡</cp:lastModifiedBy>
  <cp:revision>8</cp:revision>
  <dcterms:created xsi:type="dcterms:W3CDTF">2026-08-21T02:15:00Z</dcterms:created>
  <dcterms:modified xsi:type="dcterms:W3CDTF">2026-08-25T09:29:50Z</dcterms:modified>
</cp:coreProperties>
</file>