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a14="http://schemas.microsoft.com/office/drawing/2010/main" mc:Ignorable="w14">
  <w:body>
    <w:p>
      <w:pPr>
        <w:pStyle w:val="17"/>
        <w:spacing w:before="0" w:beforeAutospacing="0" w:after="0" w:afterAutospacing="0" w:line="560" w:lineRule="exact"/>
        <w:jc w:val="center"/>
        <w:rPr>
          <w:rFonts w:ascii="方正小标宋_GBK" w:eastAsia="方正小标宋_GBK" w:cs="方正小标宋_GBK"/>
          <w:sz w:val="44"/>
          <w:szCs w:val="44"/>
        </w:rPr>
      </w:pPr>
      <w:bookmarkStart w:id="0" w:name="_GoBack"/>
      <w:bookmarkEnd w:id="0"/>
      <w:r>
        <w:rPr>
          <w:rFonts w:ascii="方正小标宋_GBK" w:eastAsia="方正小标宋_GBK" w:cs="方正小标宋_GBK"/>
          <w:sz w:val="44"/>
          <w:szCs w:val="44"/>
        </w:rPr>
        <w:t>深圳海关</w:t>
      </w:r>
      <w:r>
        <w:rPr>
          <w:rFonts w:ascii="方正小标宋_GBK" w:eastAsia="方正小标宋_GBK" w:cs="方正小标宋_GBK" w:hint="eastAsia"/>
          <w:sz w:val="44"/>
          <w:szCs w:val="44"/>
        </w:rPr>
        <w:t>关于试点启用行政复议</w:t>
      </w:r>
    </w:p>
    <w:p>
      <w:pPr>
        <w:pStyle w:val="17"/>
        <w:spacing w:before="0" w:beforeAutospacing="0" w:after="0" w:afterAutospacing="0" w:line="560" w:lineRule="exact"/>
        <w:jc w:val="center"/>
        <w:rPr>
          <w:rFonts w:ascii="方正小标宋_GBK" w:eastAsia="方正小标宋_GBK" w:cs="方正小标宋_GBK"/>
          <w:sz w:val="44"/>
          <w:szCs w:val="44"/>
        </w:rPr>
      </w:pPr>
      <w:r>
        <w:rPr>
          <w:rFonts w:ascii="方正小标宋_GBK" w:eastAsia="方正小标宋_GBK" w:cs="方正小标宋_GBK" w:hint="eastAsia"/>
          <w:sz w:val="44"/>
          <w:szCs w:val="44"/>
        </w:rPr>
        <w:t>申请在线办理平台的通告</w:t>
      </w:r>
    </w:p>
    <w:p>
      <w:pPr>
        <w:pStyle w:val="17"/>
        <w:spacing w:before="0" w:beforeAutospacing="0" w:after="0" w:afterAutospacing="0" w:line="560" w:lineRule="exact"/>
        <w:ind w:firstLineChars="200" w:firstLine="640"/>
        <w:rPr>
          <w:rFonts w:ascii="Times New Roman" w:eastAsia="方正仿宋_GBK" w:hAnsi="Times New Roman"/>
          <w:sz w:val="32"/>
          <w:szCs w:val="32"/>
        </w:rPr>
      </w:pPr>
    </w:p>
    <w:p>
      <w:pPr>
        <w:pStyle w:val="17"/>
        <w:spacing w:before="0" w:beforeAutospacing="0" w:after="0" w:afterAutospacing="0" w:line="560" w:lineRule="exact"/>
        <w:ind w:firstLineChars="200" w:firstLine="640"/>
        <w:jc w:val="both"/>
        <w:rPr>
          <w:rFonts w:ascii="Times New Roman" w:eastAsia="方正仿宋_GBK" w:hAnsi="Times New Roman"/>
          <w:sz w:val="32"/>
          <w:szCs w:val="32"/>
        </w:rPr>
      </w:pPr>
      <w:r>
        <w:rPr>
          <w:rFonts w:ascii="Times New Roman" w:eastAsia="方正仿宋_GBK" w:hAnsi="Times New Roman" w:hint="eastAsia"/>
          <w:sz w:val="32"/>
          <w:szCs w:val="32"/>
        </w:rPr>
        <w:t>为</w:t>
      </w:r>
      <w:r>
        <w:rPr>
          <w:rFonts w:ascii="Times New Roman" w:eastAsia="方正仿宋_GBK" w:hAnsi="Times New Roman"/>
          <w:sz w:val="32"/>
          <w:szCs w:val="32"/>
        </w:rPr>
        <w:t>发挥行政复议化解行政争议主渠道作用</w:t>
      </w:r>
      <w:r>
        <w:rPr>
          <w:rFonts w:ascii="Times New Roman" w:eastAsia="方正仿宋_GBK" w:hAnsi="Times New Roman" w:hint="eastAsia"/>
          <w:sz w:val="32"/>
          <w:szCs w:val="32"/>
        </w:rPr>
        <w:t>，</w:t>
      </w:r>
      <w:r>
        <w:rPr>
          <w:rFonts w:ascii="Times New Roman" w:eastAsia="方正仿宋_GBK" w:hAnsi="Times New Roman"/>
          <w:sz w:val="32"/>
          <w:szCs w:val="32"/>
        </w:rPr>
        <w:t>方便公民、法人或其他组织申请、参加行政复议，根据海关总署统一安排，深圳海关自2025年8月20日起试点启用行政复议申请在线办理平台。现就有关事项</w:t>
      </w:r>
      <w:r>
        <w:rPr>
          <w:rFonts w:ascii="Times New Roman" w:eastAsia="方正仿宋_GBK" w:hAnsi="Times New Roman" w:hint="eastAsia"/>
          <w:sz w:val="32"/>
          <w:szCs w:val="32"/>
        </w:rPr>
        <w:t>通</w:t>
      </w:r>
      <w:r>
        <w:rPr>
          <w:rFonts w:ascii="Times New Roman" w:eastAsia="方正仿宋_GBK" w:hAnsi="Times New Roman"/>
          <w:sz w:val="32"/>
          <w:szCs w:val="32"/>
        </w:rPr>
        <w:t>告如下：</w:t>
      </w:r>
    </w:p>
    <w:p>
      <w:pPr>
        <w:pStyle w:val="17"/>
        <w:spacing w:before="0" w:beforeAutospacing="0" w:after="0" w:afterAutospacing="0" w:line="560" w:lineRule="exact"/>
        <w:ind w:firstLineChars="200" w:firstLine="640"/>
        <w:jc w:val="both"/>
        <w:rPr>
          <w:rFonts w:ascii="Times New Roman" w:eastAsia="方正仿宋_GBK" w:hAnsi="Times New Roman"/>
          <w:sz w:val="32"/>
          <w:szCs w:val="32"/>
        </w:rPr>
      </w:pPr>
      <w:r>
        <w:rPr>
          <w:rFonts w:ascii="Times New Roman" w:eastAsia="方正仿宋_GBK" w:cs="方正黑体_GBK" w:hAnsi="Times New Roman" w:hint="eastAsia"/>
          <w:sz w:val="32"/>
          <w:szCs w:val="32"/>
        </w:rPr>
        <w:t>一、</w:t>
      </w:r>
      <w:r>
        <w:rPr>
          <w:rFonts w:ascii="Times New Roman" w:eastAsia="方正仿宋_GBK" w:hAnsi="Times New Roman"/>
          <w:sz w:val="32"/>
          <w:szCs w:val="32"/>
        </w:rPr>
        <w:t>行政复议申请人选择互联网渠道向我关申请行政复议的，统一使用海关行政复议申请在线办理平台。</w:t>
      </w:r>
    </w:p>
    <w:p>
      <w:pPr>
        <w:pStyle w:val="23"/>
        <w:spacing w:line="560" w:lineRule="exact"/>
        <w:ind w:firstLine="420"/>
        <w:jc w:val="both"/>
        <w:rPr>
          <w:rFonts w:ascii="Times New Roman" w:eastAsia="方正仿宋_GBK" w:hAnsi="Times New Roman"/>
          <w:sz w:val="32"/>
          <w:szCs w:val="32"/>
        </w:rPr>
      </w:pPr>
      <w:r>
        <w:rPr>
          <w:rFonts w:ascii="Arial" w:hAnsi="Arial"/>
          <w:color w:val="000000"/>
          <w:sz w:val="21"/>
        </w:rPr>
        <w:t xml:space="preserve">  </w:t>
      </w:r>
      <w:r>
        <w:rPr>
          <w:rFonts w:ascii="Times New Roman" w:eastAsia="方正仿宋_GBK" w:hAnsi="Times New Roman"/>
          <w:sz w:val="32"/>
          <w:szCs w:val="32"/>
        </w:rPr>
        <w:t> 二、海关行政复议申请在线办理平台地址为：https://online.customs.gov.cn/publicService/。行政复议申请人在平台注册后，可以通过平台完成行政复议申请录入、补正、撤回，查询行政复议案件办理进度，接收行政复议法律文书等相关操作。</w:t>
      </w:r>
    </w:p>
    <w:p>
      <w:pPr>
        <w:pStyle w:val="23"/>
        <w:spacing w:line="560" w:lineRule="exact"/>
        <w:ind w:firstLine="420"/>
        <w:jc w:val="both"/>
        <w:rPr>
          <w:rFonts w:ascii="Times New Roman" w:eastAsia="方正仿宋_GBK" w:hAnsi="Times New Roman"/>
          <w:sz w:val="32"/>
          <w:szCs w:val="32"/>
        </w:rPr>
      </w:pPr>
      <w:r>
        <w:rPr>
          <w:rFonts w:ascii="Times New Roman" w:eastAsia="方正仿宋_GBK" w:hAnsi="Times New Roman"/>
          <w:sz w:val="32"/>
          <w:szCs w:val="32"/>
        </w:rPr>
        <w:t>   三、平台上线试运行后，</w:t>
      </w:r>
      <w:r>
        <w:rPr>
          <w:rStyle w:val="49Char"/>
          <w:rFonts w:ascii="Times New Roman" w:eastAsia="方正仿宋_GBK" w:hAnsi="Times New Roman"/>
          <w:sz w:val="32"/>
          <w:szCs w:val="32"/>
        </w:rPr>
        <w:t>作为申请人向我关提交行政复议申请书的唯一互联网渠道，我关</w:t>
      </w:r>
      <w:r>
        <w:rPr>
          <w:rFonts w:ascii="Times New Roman" w:eastAsia="方正仿宋_GBK" w:hAnsi="Times New Roman"/>
          <w:sz w:val="32"/>
          <w:szCs w:val="32"/>
        </w:rPr>
        <w:t>此前使用的行政复议互联网</w:t>
      </w:r>
      <w:r>
        <w:rPr>
          <w:rStyle w:val="31Char"/>
          <w:rFonts w:ascii="Times New Roman" w:eastAsia="方正仿宋_GBK" w:hAnsi="Times New Roman"/>
          <w:sz w:val="32"/>
          <w:szCs w:val="32"/>
        </w:rPr>
        <w:t>专用</w:t>
      </w:r>
      <w:r>
        <w:rPr>
          <w:rFonts w:ascii="Times New Roman" w:eastAsia="方正仿宋_GBK" w:hAnsi="Times New Roman"/>
          <w:sz w:val="32"/>
          <w:szCs w:val="32"/>
        </w:rPr>
        <w:t>电子邮箱不再接收行政复议申请书。</w:t>
      </w:r>
    </w:p>
    <w:p>
      <w:pPr>
        <w:pStyle w:val="23"/>
        <w:spacing w:line="560" w:lineRule="exact"/>
        <w:ind w:firstLineChars="231" w:firstLine="739"/>
        <w:jc w:val="both"/>
        <w:rPr>
          <w:rFonts w:ascii="Times New Roman" w:eastAsia="方正仿宋_GBK" w:hAnsi="Times New Roman"/>
          <w:sz w:val="32"/>
          <w:szCs w:val="32"/>
        </w:rPr>
      </w:pPr>
      <w:r>
        <w:rPr>
          <w:rFonts w:ascii="Times New Roman" w:eastAsia="方正仿宋_GBK" w:hAnsi="Times New Roman"/>
          <w:sz w:val="32"/>
          <w:szCs w:val="32"/>
        </w:rPr>
        <w:t>四、平台上线试运行后，</w:t>
      </w:r>
      <w:r>
        <w:rPr>
          <w:rStyle w:val="45Char"/>
          <w:rFonts w:ascii="Times New Roman" w:eastAsia="方正仿宋_GBK" w:hAnsi="Times New Roman"/>
          <w:sz w:val="32"/>
          <w:szCs w:val="32"/>
        </w:rPr>
        <w:t>行政复议申请人通过非互联网渠道申请行政复议的，可以选择通过</w:t>
      </w:r>
      <w:r>
        <w:rPr>
          <w:rStyle w:val="46Char"/>
          <w:rFonts w:ascii="Times New Roman" w:eastAsia="方正仿宋_GBK" w:hAnsi="Times New Roman"/>
          <w:sz w:val="32"/>
          <w:szCs w:val="32"/>
        </w:rPr>
        <w:t>线下方式，或者通过平台注册后</w:t>
      </w:r>
      <w:r>
        <w:rPr>
          <w:rStyle w:val="47Char"/>
          <w:rFonts w:ascii="Times New Roman" w:eastAsia="方正仿宋_GBK" w:hAnsi="Times New Roman"/>
          <w:sz w:val="32"/>
          <w:szCs w:val="32"/>
        </w:rPr>
        <w:t>转为线上方式</w:t>
      </w:r>
      <w:r>
        <w:rPr>
          <w:rStyle w:val="45Char"/>
          <w:rFonts w:ascii="Times New Roman" w:eastAsia="方正仿宋_GBK" w:hAnsi="Times New Roman"/>
          <w:sz w:val="32"/>
          <w:szCs w:val="32"/>
        </w:rPr>
        <w:t>参加行政复议。</w:t>
      </w:r>
      <w:r>
        <w:rPr>
          <w:rStyle w:val="48Char"/>
          <w:rFonts w:ascii="Times New Roman" w:eastAsia="方正仿宋_GBK" w:hAnsi="Times New Roman"/>
          <w:sz w:val="32"/>
          <w:szCs w:val="32"/>
        </w:rPr>
        <w:t>平台上线试运行前已受理的行政复议案件仍按照原有模式办理。</w:t>
      </w:r>
    </w:p>
    <w:p>
      <w:pPr>
        <w:pStyle w:val="23"/>
        <w:spacing w:line="560" w:lineRule="exact"/>
        <w:ind w:firstLineChars="231" w:firstLine="739"/>
        <w:jc w:val="both"/>
        <w:rPr>
          <w:rFonts w:ascii="Times New Roman" w:eastAsia="方正仿宋_GBK" w:hAnsi="Times New Roman"/>
          <w:sz w:val="32"/>
          <w:szCs w:val="32"/>
        </w:rPr>
      </w:pPr>
      <w:r>
        <w:rPr>
          <w:rFonts w:ascii="Times New Roman" w:eastAsia="方正仿宋_GBK" w:hAnsi="Times New Roman"/>
          <w:sz w:val="32"/>
          <w:szCs w:val="32"/>
        </w:rPr>
        <w:t>五、</w:t>
      </w:r>
      <w:r>
        <w:rPr>
          <w:rStyle w:val="54Char"/>
          <w:rFonts w:ascii="Times New Roman" w:eastAsia="方正仿宋_GBK" w:hAnsi="Times New Roman"/>
          <w:sz w:val="32"/>
          <w:szCs w:val="32"/>
        </w:rPr>
        <w:t>平台上线试运行后，</w:t>
      </w:r>
      <w:r>
        <w:rPr>
          <w:rFonts w:ascii="Times New Roman" w:eastAsia="方正仿宋_GBK" w:hAnsi="Times New Roman"/>
          <w:sz w:val="32"/>
          <w:szCs w:val="32"/>
        </w:rPr>
        <w:t>遇有系统异常等情况导致无法在线办理相关行政复议案件的，我关将根据《行政复议法》有关规定通过线下方式办理相关行政复议案件。</w:t>
      </w:r>
    </w:p>
    <w:p>
      <w:pPr>
        <w:pStyle w:val="23"/>
        <w:spacing w:line="560" w:lineRule="exact"/>
        <w:ind w:firstLineChars="231" w:firstLine="739"/>
        <w:jc w:val="both"/>
        <w:rPr>
          <w:rFonts w:ascii="Times New Roman" w:eastAsia="方正仿宋_GBK" w:hAnsi="Times New Roman"/>
          <w:sz w:val="32"/>
          <w:szCs w:val="32"/>
        </w:rPr>
      </w:pPr>
      <w:r>
        <w:rPr>
          <w:rFonts w:ascii="Times New Roman" w:eastAsia="方正仿宋_GBK" w:hAnsi="Times New Roman"/>
          <w:sz w:val="32"/>
          <w:szCs w:val="32"/>
        </w:rPr>
        <w:t>六、本</w:t>
      </w:r>
      <w:r>
        <w:rPr>
          <w:rFonts w:ascii="Times New Roman" w:eastAsia="方正仿宋_GBK" w:hAnsi="Times New Roman" w:hint="eastAsia"/>
          <w:sz w:val="32"/>
          <w:szCs w:val="32"/>
        </w:rPr>
        <w:t>通</w:t>
      </w:r>
      <w:r>
        <w:rPr>
          <w:rFonts w:ascii="Times New Roman" w:eastAsia="方正仿宋_GBK" w:hAnsi="Times New Roman"/>
          <w:sz w:val="32"/>
          <w:szCs w:val="32"/>
        </w:rPr>
        <w:t>告自2025年8月20日起施行。</w:t>
      </w:r>
    </w:p>
    <w:p>
      <w:pPr>
        <w:pStyle w:val="23"/>
        <w:spacing w:line="560" w:lineRule="exact"/>
        <w:ind w:firstLineChars="231" w:firstLine="739"/>
        <w:jc w:val="both"/>
        <w:rPr>
          <w:rFonts w:ascii="Times New Roman" w:eastAsia="方正仿宋_GBK" w:hAnsi="Times New Roman"/>
          <w:sz w:val="32"/>
          <w:szCs w:val="32"/>
        </w:rPr>
      </w:pPr>
      <w:r>
        <w:rPr>
          <w:rFonts w:ascii="Times New Roman" w:eastAsia="方正仿宋_GBK" w:hAnsi="Times New Roman"/>
          <w:sz w:val="32"/>
          <w:szCs w:val="32"/>
        </w:rPr>
        <w:t>特此</w:t>
      </w:r>
      <w:r>
        <w:rPr>
          <w:rFonts w:ascii="Times New Roman" w:eastAsia="方正仿宋_GBK" w:hAnsi="Times New Roman" w:hint="eastAsia"/>
          <w:sz w:val="32"/>
          <w:szCs w:val="32"/>
        </w:rPr>
        <w:t>通</w:t>
      </w:r>
      <w:r>
        <w:rPr>
          <w:rFonts w:ascii="Times New Roman" w:eastAsia="方正仿宋_GBK" w:hAnsi="Times New Roman"/>
          <w:sz w:val="32"/>
          <w:szCs w:val="32"/>
        </w:rPr>
        <w:t>告。</w:t>
      </w:r>
    </w:p>
    <w:p>
      <w:pPr>
        <w:pStyle w:val="23"/>
        <w:spacing w:line="560" w:lineRule="exact"/>
        <w:ind w:firstLineChars="231" w:firstLine="739"/>
        <w:jc w:val="both"/>
        <w:rPr>
          <w:rFonts w:ascii="Times New Roman" w:eastAsia="方正仿宋_GBK" w:hAnsi="Times New Roman"/>
          <w:sz w:val="32"/>
          <w:szCs w:val="32"/>
        </w:rPr>
      </w:pPr>
    </w:p>
    <w:p>
      <w:pPr>
        <w:pStyle w:val="23"/>
        <w:spacing w:line="560" w:lineRule="exact"/>
        <w:ind w:firstLineChars="1779" w:firstLine="5693"/>
        <w:jc w:val="both"/>
        <w:rPr>
          <w:rFonts w:ascii="Times New Roman" w:eastAsia="方正仿宋_GBK" w:hAnsi="Times New Roman"/>
          <w:sz w:val="32"/>
          <w:szCs w:val="32"/>
        </w:rPr>
      </w:pPr>
      <w:r>
        <w:rPr>
          <w:rFonts w:ascii="Times New Roman" w:eastAsia="方正仿宋_GBK" w:hAnsi="Times New Roman"/>
          <w:sz w:val="32"/>
          <w:szCs w:val="32"/>
        </w:rPr>
        <w:t>深圳海关</w:t>
      </w:r>
    </w:p>
    <w:p>
      <w:pPr>
        <w:pStyle w:val="23"/>
        <w:spacing w:line="560" w:lineRule="exact"/>
        <w:ind w:firstLineChars="1550" w:firstLine="4960"/>
        <w:jc w:val="both"/>
        <w:rPr>
          <w:rFonts w:ascii="Times New Roman" w:eastAsia="方正仿宋_GBK" w:hAnsi="Times New Roman"/>
          <w:sz w:val="32"/>
          <w:szCs w:val="32"/>
        </w:rPr>
      </w:pPr>
      <w:r>
        <w:rPr>
          <w:rFonts w:ascii="Times New Roman" w:eastAsia="方正仿宋_GBK" w:hAnsi="Times New Roman"/>
          <w:sz w:val="32"/>
          <w:szCs w:val="32"/>
        </w:rPr>
        <w:t>二〇二五年八月十二日</w:t>
      </w:r>
    </w:p>
    <w:sectPr>
      <w:pgSz w:w="11907" w:h="16839"/>
      <w:pgMar w:top="1440" w:right="1800" w:bottom="1440" w:left="1800" w:header="851" w:footer="992" w:gutter="0"/>
      <w:docGrid w:type="lines" w:linePitch="312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方正小标宋_GBK">
    <w:panose1 w:val="03000509000000000000"/>
    <w:charset w:val="86"/>
    <w:family w:val="script"/>
    <w:pitch w:val="variable"/>
    <w:sig w:usb0="00000001" w:usb1="080E0000" w:usb2="00000010" w:usb3="00000000" w:csb0="0004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仿宋_GBK">
    <w:panose1 w:val="03000509000000000000"/>
    <w:charset w:val="86"/>
    <w:family w:val="script"/>
    <w:pitch w:val="variable"/>
    <w:sig w:usb0="00000001" w:usb1="080E0000" w:usb2="00000010" w:usb3="00000000" w:csb0="00040000" w:csb1="00000000"/>
  </w:font>
  <w:font w:name="方正黑体_GBK">
    <w:panose1 w:val="03000509000000000000"/>
    <w:charset w:val="86"/>
    <w:family w:val="script"/>
    <w:pitch w:val="variable"/>
    <w:sig w:usb0="A00002BF" w:usb1="38CF7CFA" w:usb2="00082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黑体">
    <w:altName w:val="SimHei"/>
    <w:panose1 w:val="02010609060101010101"/>
    <w:charset w:val="86"/>
    <w:family w:val="modern"/>
    <w:pitch w:val="variable"/>
    <w:sig w:usb0="00000001" w:usb1="080E0000" w:usb2="00000010" w:usb3="00000000" w:csb0="00040000" w:csb1="00000000"/>
  </w:font>
  <w:font w:name="Lucida Sans">
    <w:altName w:val="DejaVu Sans"/>
    <w:panose1 w:val="020B0602030504020204"/>
    <w:charset w:val="00"/>
    <w:family w:val="auto"/>
    <w:pitch w:val="variable"/>
    <w:sig w:usb0="00000003" w:usb1="00000000" w:usb2="00000000" w:usb3="00000000" w:csb0="20000001" w:csb1="00000000"/>
  </w:font>
</w:fonts>
</file>

<file path=word/settings.xml><?xml version="1.0" encoding="utf-8"?>
<w:settings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>
  <w:zoom w:percent="137"/>
  <w:doNotDisplayPageBoundaries/>
  <w:displayBackgroundShape/>
  <w:bordersDoNotSurroundHeader/>
  <w:bordersDoNotSurroundFooter/>
  <w:trackRevisions/>
  <w:defaultTabStop w:val="420"/>
  <w:drawingGridHorizontalSpacing w:val="105"/>
  <w:drawingGridVerticalSpacing w:val="156"/>
  <w:displayHorizontalDrawingGridEvery w:val="0"/>
  <w:displayVerticalDrawingGridEvery w:val="2"/>
  <w:noPunctuationKerning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ulTrailSpace/>
    <w:doNotExpandShiftReturn/>
    <w:adjustLineHeightInTable/>
    <w:compatSetting w:name="compatibilityMode" w:uri="http://schemas.microsoft.com/office/word" w:val="14"/>
  </w:compat>
  <w:docVars/>
</w:settings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style w:type="paragraph" w:default="1" w:styleId="0">
    <w:name w:val="Normal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styleId="1">
    <w:name w:val="heading 1"/>
    <w:basedOn w:val="0"/>
    <w:next w:val="0"/>
    <w:pPr>
      <w:keepNext/>
      <w:keepLines/>
      <w:widowControl w:val="0"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0"/>
    <w:next w:val="0"/>
    <w:pPr>
      <w:keepNext/>
      <w:keepLines/>
      <w:widowControl w:val="0"/>
      <w:spacing w:before="260" w:after="260" w:line="415" w:lineRule="auto"/>
      <w:outlineLvl w:val="1"/>
    </w:pPr>
    <w:rPr>
      <w:rFonts w:ascii="Times New Roman" w:eastAsia="黑体" w:hAnsi="Times New Roman"/>
      <w:b/>
      <w:bCs/>
      <w:sz w:val="32"/>
      <w:szCs w:val="32"/>
    </w:rPr>
  </w:style>
  <w:style w:type="paragraph" w:styleId="3">
    <w:name w:val="heading 3"/>
    <w:basedOn w:val="0"/>
    <w:next w:val="0"/>
    <w:pPr>
      <w:keepNext/>
      <w:keepLines/>
      <w:widowControl w:val="0"/>
      <w:spacing w:before="260" w:after="260" w:line="415" w:lineRule="auto"/>
      <w:outlineLvl w:val="2"/>
    </w:pPr>
    <w:rPr>
      <w:b/>
      <w:bCs/>
      <w:sz w:val="32"/>
      <w:szCs w:val="32"/>
    </w:rPr>
  </w:style>
  <w:style w:type="character" w:default="1" w:styleId="10">
    <w:name w:val="Default Paragraph Font"/>
  </w:style>
  <w:style w:type="paragraph" w:styleId="15">
    <w:name w:val="index 5"/>
    <w:basedOn w:val="0"/>
    <w:autoRedefine/>
    <w:next w:val="0"/>
    <w:pPr>
      <w:ind w:left="1680"/>
    </w:pPr>
  </w:style>
  <w:style w:type="character" w:styleId="16">
    <w:name w:val="Hyperlink"/>
    <w:rPr>
      <w:color w:val="0000FF"/>
      <w:u w:val="single"/>
    </w:rPr>
  </w:style>
  <w:style w:type="paragraph" w:styleId="17">
    <w:name w:val="Normal (Web)"/>
    <w:basedOn w:val="0"/>
    <w:next w:val="15"/>
    <w:pPr>
      <w:widowControl/>
      <w:spacing w:before="100" w:beforeAutospacing="1" w:after="100" w:afterAutospacing="1"/>
      <w:jc w:val="left"/>
    </w:pPr>
    <w:rPr>
      <w:rFonts w:ascii="宋体"/>
      <w:kern w:val="0"/>
      <w:sz w:val="24"/>
      <w:szCs w:val="21"/>
    </w:rPr>
  </w:style>
  <w:style w:type="paragraph" w:customStyle="1" w:styleId="18">
    <w:name w:val="样式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9">
    <w:name w:val="样式 1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20">
    <w:name w:val="样式 小四"/>
    <w:basedOn w:val="0"/>
    <w:pPr>
      <w:widowControl/>
      <w:spacing w:before="100" w:beforeAutospacing="1" w:after="100" w:afterAutospacing="1"/>
      <w:jc w:val="left"/>
    </w:pPr>
    <w:rPr>
      <w:rFonts w:ascii="宋体"/>
      <w:kern w:val="0"/>
      <w:sz w:val="24"/>
      <w:szCs w:val="21"/>
    </w:rPr>
  </w:style>
  <w:style w:type="paragraph" w:customStyle="1" w:styleId="21">
    <w:name w:val="样式 1 小四"/>
    <w:basedOn w:val="0"/>
    <w:pPr>
      <w:widowControl/>
      <w:spacing w:before="100" w:beforeAutospacing="1" w:after="100" w:afterAutospacing="1"/>
      <w:jc w:val="left"/>
    </w:pPr>
    <w:rPr>
      <w:rFonts w:ascii="宋体"/>
      <w:kern w:val="0"/>
      <w:sz w:val="24"/>
      <w:szCs w:val="21"/>
    </w:rPr>
  </w:style>
  <w:style w:type="paragraph" w:customStyle="1" w:styleId="22">
    <w:name w:val="样式 2 小四"/>
    <w:basedOn w:val="0"/>
    <w:pPr>
      <w:widowControl/>
      <w:spacing w:before="100" w:beforeAutospacing="1" w:after="100" w:afterAutospacing="1"/>
      <w:jc w:val="left"/>
    </w:pPr>
    <w:rPr>
      <w:rFonts w:ascii="宋体"/>
      <w:kern w:val="0"/>
      <w:sz w:val="24"/>
      <w:szCs w:val="21"/>
    </w:rPr>
  </w:style>
  <w:style w:type="paragraph" w:customStyle="1" w:styleId="23">
    <w:name w:val="样式 3 小四"/>
    <w:pPr>
      <w:widowControl w:val="0"/>
    </w:pPr>
    <w:rPr>
      <w:rFonts w:ascii="宋体" w:eastAsia="宋体" w:cs="Lucida Sans"/>
      <w:kern w:val="2"/>
      <w:sz w:val="24"/>
      <w:szCs w:val="21"/>
      <w:lang w:val="en-US" w:eastAsia="zh-CN" w:bidi="ar-SA"/>
    </w:rPr>
  </w:style>
  <w:style w:type="paragraph" w:customStyle="1" w:styleId="24">
    <w:name w:val="样式 4 小四"/>
    <w:basedOn w:val="0"/>
    <w:pPr>
      <w:jc w:val="left"/>
    </w:pPr>
    <w:rPr>
      <w:rFonts w:ascii="宋体" w:cs="Lucida Sans"/>
      <w:color w:val="0000FF"/>
      <w:sz w:val="24"/>
      <w:szCs w:val="21"/>
      <w:u w:val="single"/>
    </w:rPr>
  </w:style>
  <w:style w:type="paragraph" w:customStyle="1" w:styleId="25">
    <w:name w:val="样式 5 小四"/>
    <w:basedOn w:val="0"/>
    <w:pPr>
      <w:jc w:val="left"/>
    </w:pPr>
    <w:rPr>
      <w:rFonts w:ascii="宋体" w:cs="Lucida Sans"/>
      <w:color w:val="0000FF"/>
      <w:sz w:val="24"/>
      <w:szCs w:val="21"/>
      <w:u w:val="single"/>
    </w:rPr>
  </w:style>
  <w:style w:type="paragraph" w:customStyle="1" w:styleId="26">
    <w:name w:val="样式 6 小四"/>
    <w:pPr>
      <w:widowControl w:val="0"/>
    </w:pPr>
    <w:rPr>
      <w:rFonts w:ascii="宋体" w:eastAsia="宋体" w:cs="Lucida Sans"/>
      <w:kern w:val="2"/>
      <w:sz w:val="24"/>
      <w:szCs w:val="21"/>
      <w:lang w:val="en-US" w:eastAsia="zh-CN" w:bidi="ar-SA"/>
    </w:rPr>
  </w:style>
  <w:style w:type="paragraph" w:customStyle="1" w:styleId="27">
    <w:name w:val="样式 7 小四"/>
    <w:pPr>
      <w:widowControl w:val="0"/>
    </w:pPr>
    <w:rPr>
      <w:rFonts w:ascii="宋体" w:eastAsia="宋体" w:cs="Lucida Sans"/>
      <w:kern w:val="2"/>
      <w:sz w:val="24"/>
      <w:szCs w:val="21"/>
      <w:lang w:val="en-US" w:eastAsia="zh-CN" w:bidi="ar-SA"/>
    </w:rPr>
  </w:style>
  <w:style w:type="paragraph" w:customStyle="1" w:styleId="28">
    <w:name w:val="样式 8 小四"/>
    <w:pPr>
      <w:widowControl w:val="0"/>
    </w:pPr>
    <w:rPr>
      <w:rFonts w:ascii="宋体" w:eastAsia="宋体" w:cs="Lucida Sans"/>
      <w:kern w:val="2"/>
      <w:sz w:val="24"/>
      <w:szCs w:val="21"/>
      <w:lang w:val="en-US" w:eastAsia="zh-CN" w:bidi="ar-SA"/>
    </w:rPr>
  </w:style>
  <w:style w:type="paragraph" w:customStyle="1" w:styleId="29">
    <w:name w:val="样式 2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30">
    <w:name w:val="样式 9 小四"/>
    <w:pPr>
      <w:widowControl w:val="0"/>
    </w:pPr>
    <w:rPr>
      <w:rFonts w:ascii="宋体" w:eastAsia="宋体" w:cs="Lucida Sans"/>
      <w:kern w:val="2"/>
      <w:sz w:val="24"/>
      <w:szCs w:val="21"/>
      <w:lang w:val="en-US" w:eastAsia="zh-CN" w:bidi="ar-SA"/>
    </w:rPr>
  </w:style>
  <w:style w:type="paragraph" w:customStyle="1" w:styleId="31">
    <w:name w:val="样式 3 10 磅"/>
    <w:link w:val="31Char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character" w:customStyle="1" w:styleId="31Char">
    <w:name w:val="样式 3 10 磅 Char"/>
    <w:basedOn w:val="10"/>
    <w:link w:val="31"/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32">
    <w:name w:val="样式 10 小四"/>
    <w:pPr>
      <w:widowControl w:val="0"/>
    </w:pPr>
    <w:rPr>
      <w:rFonts w:ascii="宋体" w:eastAsia="宋体" w:cs="Lucida Sans"/>
      <w:kern w:val="2"/>
      <w:sz w:val="24"/>
      <w:szCs w:val="21"/>
      <w:lang w:val="en-US" w:eastAsia="zh-CN" w:bidi="ar-SA"/>
    </w:rPr>
  </w:style>
  <w:style w:type="paragraph" w:styleId="33">
    <w:name w:val="index 7"/>
    <w:basedOn w:val="0"/>
    <w:autoRedefine/>
    <w:next w:val="0"/>
    <w:pPr>
      <w:ind w:left="2520"/>
    </w:pPr>
  </w:style>
  <w:style w:type="paragraph" w:styleId="34">
    <w:name w:val="toc 1"/>
    <w:basedOn w:val="0"/>
    <w:autoRedefine/>
    <w:next w:val="0"/>
  </w:style>
  <w:style w:type="paragraph" w:styleId="35">
    <w:name w:val="toc 2"/>
    <w:basedOn w:val="0"/>
    <w:autoRedefine/>
    <w:next w:val="0"/>
    <w:pPr>
      <w:ind w:left="420"/>
    </w:pPr>
  </w:style>
  <w:style w:type="paragraph" w:styleId="36">
    <w:name w:val="toc 3"/>
    <w:basedOn w:val="0"/>
    <w:autoRedefine/>
    <w:next w:val="0"/>
    <w:pPr>
      <w:ind w:left="840"/>
    </w:pPr>
  </w:style>
  <w:style w:type="paragraph" w:styleId="37">
    <w:name w:val="toc 4"/>
    <w:basedOn w:val="0"/>
    <w:autoRedefine/>
    <w:next w:val="0"/>
    <w:pPr>
      <w:ind w:left="1260"/>
    </w:pPr>
  </w:style>
  <w:style w:type="paragraph" w:styleId="38">
    <w:name w:val="toc 5"/>
    <w:basedOn w:val="0"/>
    <w:autoRedefine/>
    <w:next w:val="0"/>
    <w:pPr>
      <w:ind w:left="1680"/>
    </w:pPr>
  </w:style>
  <w:style w:type="paragraph" w:styleId="39">
    <w:name w:val="annotation text"/>
    <w:basedOn w:val="0"/>
    <w:pPr>
      <w:jc w:val="left"/>
    </w:pPr>
  </w:style>
  <w:style w:type="paragraph" w:styleId="40">
    <w:name w:val="annotation subject"/>
    <w:basedOn w:val="0"/>
    <w:pPr>
      <w:jc w:val="left"/>
    </w:pPr>
    <w:rPr>
      <w:b/>
    </w:rPr>
  </w:style>
  <w:style w:type="paragraph" w:customStyle="1" w:styleId="41">
    <w:name w:val="样式 11 小四"/>
    <w:pPr>
      <w:widowControl w:val="0"/>
    </w:pPr>
    <w:rPr>
      <w:rFonts w:ascii="宋体" w:eastAsia="宋体" w:cs="Lucida Sans"/>
      <w:kern w:val="2"/>
      <w:sz w:val="24"/>
      <w:szCs w:val="21"/>
      <w:lang w:val="en-US" w:eastAsia="zh-CN" w:bidi="ar-SA"/>
    </w:rPr>
  </w:style>
  <w:style w:type="paragraph" w:customStyle="1" w:styleId="42">
    <w:name w:val="样式 4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43">
    <w:name w:val="样式 5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44">
    <w:name w:val="样式 12 小四"/>
    <w:pPr>
      <w:widowControl w:val="0"/>
    </w:pPr>
    <w:rPr>
      <w:rFonts w:ascii="宋体" w:eastAsia="宋体" w:cs="Lucida Sans"/>
      <w:kern w:val="2"/>
      <w:sz w:val="24"/>
      <w:szCs w:val="21"/>
      <w:lang w:val="en-US" w:eastAsia="zh-CN" w:bidi="ar-SA"/>
    </w:rPr>
  </w:style>
  <w:style w:type="paragraph" w:customStyle="1" w:styleId="45">
    <w:name w:val="样式 6 10 磅"/>
    <w:link w:val="45Char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character" w:customStyle="1" w:styleId="45Char">
    <w:name w:val="样式 6 10 磅 Char"/>
    <w:basedOn w:val="10"/>
    <w:link w:val="45"/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46">
    <w:name w:val="样式 7 10 磅"/>
    <w:link w:val="46Char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character" w:customStyle="1" w:styleId="46Char">
    <w:name w:val="样式 7 10 磅 Char"/>
    <w:basedOn w:val="10"/>
    <w:link w:val="46"/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47">
    <w:name w:val="样式 10 10 磅"/>
    <w:link w:val="47Char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character" w:customStyle="1" w:styleId="47Char">
    <w:name w:val="样式 10 10 磅 Char"/>
    <w:basedOn w:val="10"/>
    <w:link w:val="47"/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48">
    <w:name w:val="样式 8 10 磅"/>
    <w:link w:val="48Char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character" w:customStyle="1" w:styleId="48Char">
    <w:name w:val="样式 8 10 磅 Char"/>
    <w:basedOn w:val="10"/>
    <w:link w:val="48"/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49">
    <w:name w:val="样式 9 10 磅"/>
    <w:link w:val="49Char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character" w:customStyle="1" w:styleId="49Char">
    <w:name w:val="样式 9 10 磅 Char"/>
    <w:basedOn w:val="10"/>
    <w:link w:val="49"/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50">
    <w:name w:val="样式 11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51">
    <w:name w:val="样式 13 小四"/>
    <w:pPr>
      <w:widowControl w:val="0"/>
    </w:pPr>
    <w:rPr>
      <w:rFonts w:ascii="宋体" w:eastAsia="宋体" w:cs="Lucida Sans"/>
      <w:kern w:val="2"/>
      <w:sz w:val="24"/>
      <w:szCs w:val="21"/>
      <w:lang w:val="en-US" w:eastAsia="zh-CN" w:bidi="ar-SA"/>
    </w:rPr>
  </w:style>
  <w:style w:type="paragraph" w:customStyle="1" w:styleId="52">
    <w:name w:val="样式 12 10 磅"/>
    <w:basedOn w:val="0"/>
    <w:pPr>
      <w:jc w:val="left"/>
    </w:pPr>
  </w:style>
  <w:style w:type="paragraph" w:customStyle="1" w:styleId="53">
    <w:name w:val="样式 13 10 磅"/>
    <w:basedOn w:val="0"/>
    <w:pPr>
      <w:jc w:val="left"/>
    </w:pPr>
    <w:rPr>
      <w:b/>
      <w:bCs/>
    </w:rPr>
  </w:style>
  <w:style w:type="paragraph" w:customStyle="1" w:styleId="54">
    <w:name w:val="样式 14 10 磅"/>
    <w:link w:val="54Char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character" w:customStyle="1" w:styleId="54Char">
    <w:name w:val="样式 14 10 磅 Char"/>
    <w:basedOn w:val="10"/>
    <w:link w:val="54"/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55">
    <w:name w:val="样式 14 小四"/>
    <w:pPr>
      <w:widowControl w:val="0"/>
    </w:pPr>
    <w:rPr>
      <w:rFonts w:ascii="宋体" w:eastAsia="宋体" w:cs="Lucida Sans"/>
      <w:kern w:val="2"/>
      <w:sz w:val="24"/>
      <w:szCs w:val="21"/>
      <w:lang w:val="en-US" w:eastAsia="zh-CN" w:bidi="ar-SA"/>
    </w:rPr>
  </w:style>
  <w:style w:type="paragraph" w:styleId="56">
    <w:name w:val="header"/>
    <w:basedOn w:val="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7">
    <w:name w:val="footer"/>
    <w:basedOn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styles" Target="styles.xml"/><Relationship Id="rId3" Type="http://schemas.openxmlformats.org/officeDocument/2006/relationships/fontTable" Target="fontTable.xml"/></Relationships>
</file>

<file path=docProps/app.xml><?xml version="1.0" encoding="utf-8"?>
<Properties xmlns="http://schemas.openxmlformats.org/officeDocument/2006/extended-properties">
  <Template>Normal.eit</Template>
  <TotalTime>3</TotalTime>
  <Application>Yozo_Office</Application>
  <Pages>2</Pages>
  <Words>521</Words>
  <Characters>572</Characters>
  <Lines>29</Lines>
  <Paragraphs>12</Paragraphs>
  <CharactersWithSpaces>578</CharactersWithSpaces>
  <Company>Yozosoft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creator>User274</dc:creator>
  <cp:lastModifiedBy>高扬</cp:lastModifiedBy>
  <cp:revision>3</cp:revision>
  <dcterms:created xsi:type="dcterms:W3CDTF">2025-08-12T09:11:00Z</dcterms:created>
  <dcterms:modified xsi:type="dcterms:W3CDTF">2025-12-09T03:37:40Z</dcterms:modified>
</cp:coreProperties>
</file>