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left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上半年</w:t>
      </w:r>
      <w:r>
        <w:rPr>
          <w:rFonts w:ascii="方正小标宋_GBK" w:eastAsia="方正小标宋_GBK"/>
          <w:sz w:val="44"/>
          <w:szCs w:val="44"/>
        </w:rPr>
        <w:t>深圳市</w:t>
      </w:r>
      <w:r>
        <w:rPr>
          <w:rFonts w:ascii="方正小标宋_GBK" w:eastAsia="方正小标宋_GBK" w:hint="eastAsia"/>
          <w:sz w:val="44"/>
          <w:szCs w:val="44"/>
        </w:rPr>
        <w:t>“新三品”</w:t>
      </w:r>
      <w:r>
        <w:rPr>
          <w:rFonts w:ascii="方正小标宋_GBK" w:eastAsia="方正小标宋_GBK"/>
          <w:sz w:val="44"/>
          <w:szCs w:val="44"/>
        </w:rPr>
        <w:t>产品</w:t>
      </w:r>
      <w:r>
        <w:rPr>
          <w:rFonts w:ascii="方正小标宋_GBK" w:eastAsia="方正小标宋_GBK" w:hint="eastAsia"/>
          <w:sz w:val="44"/>
          <w:szCs w:val="44"/>
        </w:rPr>
        <w:t>出口增</w:t>
      </w:r>
      <w:r>
        <w:rPr>
          <w:rFonts w:ascii="方正小标宋_GBK" w:eastAsia="方正小标宋_GBK"/>
          <w:sz w:val="44"/>
          <w:szCs w:val="44"/>
        </w:rPr>
        <w:t>长</w:t>
      </w:r>
      <w:r>
        <w:rPr>
          <w:rFonts w:ascii="方正小标宋_GBK" w:eastAsia="方正小标宋_GBK" w:hint="eastAsia"/>
          <w:sz w:val="44"/>
          <w:szCs w:val="44"/>
        </w:rPr>
        <w:t>57.8%</w:t>
      </w:r>
    </w:p>
    <w:p>
      <w:pPr>
        <w:spacing w:line="560" w:lineRule="exact"/>
        <w:ind w:firstLineChars="200" w:firstLine="632"/>
        <w:jc w:val="left"/>
      </w:pPr>
    </w:p>
    <w:p>
      <w:pPr>
        <w:spacing w:line="560" w:lineRule="exact"/>
        <w:ind w:firstLineChars="200" w:firstLine="632"/>
        <w:rPr>
          <w:b/>
          <w:bCs/>
        </w:rPr>
      </w:pPr>
      <w:r>
        <w:rPr>
          <w:rFonts w:hint="eastAsia"/>
          <w:szCs w:val="32"/>
        </w:rPr>
        <w:t>据海关统计，</w:t>
      </w:r>
      <w:r>
        <w:t>2026年上半年，深圳市</w:t>
      </w:r>
      <w:r>
        <w:rPr>
          <w:rFonts w:hint="eastAsia"/>
        </w:rPr>
        <w:t>无人机、3D打印机、数字照相机等“新三品”产品</w:t>
      </w:r>
      <w:r>
        <w:t>出口249.8亿元，同比（下同）增长57.8%，</w:t>
      </w:r>
      <w:bookmarkStart w:id="0" w:name="_GoBack"/>
      <w:bookmarkEnd w:id="0"/>
      <w:r>
        <w:t>占全国</w:t>
      </w:r>
      <w:r>
        <w:rPr>
          <w:rFonts w:hint="eastAsia"/>
        </w:rPr>
        <w:t>“新三品”</w:t>
      </w:r>
      <w:r>
        <w:t>产品</w:t>
      </w:r>
      <w:r>
        <w:rPr>
          <w:rFonts w:hint="eastAsia"/>
        </w:rPr>
        <w:t>出口规模</w:t>
      </w:r>
      <w:r>
        <w:t>的84.4%。</w:t>
      </w:r>
      <w:r>
        <w:rPr>
          <w:rFonts w:hint="eastAsia"/>
          <w:b/>
          <w:bCs/>
        </w:rPr>
        <w:t>主要特点如下：</w:t>
      </w:r>
    </w:p>
    <w:p>
      <w:pPr>
        <w:pStyle w:val="44"/>
        <w:autoSpaceDN w:val="0"/>
        <w:spacing w:line="560" w:lineRule="exact"/>
        <w:ind w:firstLineChars="200" w:firstLine="608"/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方正楷体_GBK" w:eastAsia="方正楷体_GBK" w:hint="eastAsia"/>
          <w:b/>
          <w:bCs/>
          <w:spacing w:val="-6"/>
          <w:sz w:val="32"/>
          <w:szCs w:val="32"/>
        </w:rPr>
        <w:t>一是一般贸易方式出口占主导。</w:t>
      </w:r>
      <w:r>
        <w:rPr>
          <w:rFonts w:ascii="方正仿宋_GBK" w:eastAsia="方正仿宋_GBK" w:hint="eastAsia"/>
          <w:bCs/>
          <w:spacing w:val="-6"/>
          <w:sz w:val="32"/>
          <w:szCs w:val="32"/>
        </w:rPr>
        <w:t>上半年</w:t>
      </w:r>
      <w:r>
        <w:rPr>
          <w:rFonts w:ascii="方正仿宋_GBK" w:eastAsia="方正仿宋_GBK" w:cs="Times New Roman" w:hint="eastAsia"/>
          <w:sz w:val="32"/>
          <w:szCs w:val="20"/>
        </w:rPr>
        <w:t>，</w:t>
      </w:r>
      <w:r>
        <w:rPr>
          <w:rFonts w:ascii="Times New Roman" w:eastAsia="方正仿宋_GBK" w:hAnsi="Times New Roman" w:hint="eastAsia"/>
          <w:sz w:val="32"/>
          <w:szCs w:val="32"/>
        </w:rPr>
        <w:t>深圳市以一般贸易方式出口“新三品”产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品247.9</w:t>
      </w:r>
      <w:r>
        <w:rPr>
          <w:rFonts w:ascii="Times New Roman" w:eastAsia="方正仿宋_GBK" w:hAnsi="Times New Roman" w:hint="eastAsia"/>
          <w:sz w:val="32"/>
          <w:szCs w:val="32"/>
        </w:rPr>
        <w:t>亿元，增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长60.8</w:t>
      </w:r>
      <w:r>
        <w:rPr>
          <w:rFonts w:ascii="Times New Roman" w:eastAsia="方正仿宋_GBK" w:cs="Times New Roman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，占同期深圳“新三品”出口总值的（下同）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99.2</w:t>
      </w:r>
      <w:r>
        <w:rPr>
          <w:rFonts w:ascii="Times New Roman" w:eastAsia="方正仿宋_GBK" w:cs="Times New Roman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。以保税物流方式出口1.8亿元，下降20.6%。</w:t>
      </w:r>
    </w:p>
    <w:p>
      <w:pPr>
        <w:pStyle w:val="44"/>
        <w:autoSpaceDN w:val="0"/>
        <w:spacing w:line="560" w:lineRule="exact"/>
        <w:ind w:firstLineChars="200" w:firstLine="632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楷体_GBK" w:hAnsi="Times New Roman" w:hint="eastAsia"/>
          <w:b/>
          <w:bCs/>
          <w:sz w:val="32"/>
          <w:szCs w:val="32"/>
        </w:rPr>
        <w:t>二是民营企业出口占比超</w:t>
      </w: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</w:rPr>
        <w:t>7</w:t>
      </w:r>
      <w:r>
        <w:rPr>
          <w:rFonts w:ascii="Times New Roman" w:eastAsia="方正楷体_GBK" w:hAnsi="Times New Roman" w:hint="eastAsia"/>
          <w:b/>
          <w:bCs/>
          <w:sz w:val="32"/>
          <w:szCs w:val="32"/>
        </w:rPr>
        <w:t>成，外商投资企业出口快速增长。</w:t>
      </w:r>
      <w:r>
        <w:rPr>
          <w:rFonts w:ascii="Times New Roman" w:eastAsia="方正仿宋_GBK" w:hAnsi="Times New Roman" w:hint="eastAsia"/>
          <w:sz w:val="32"/>
          <w:szCs w:val="32"/>
        </w:rPr>
        <w:t>上半年，深圳市民营企业出口“新三品”产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品187.5亿</w:t>
      </w:r>
      <w:r>
        <w:rPr>
          <w:rFonts w:ascii="Times New Roman" w:eastAsia="方正仿宋_GBK" w:hAnsi="Times New Roman" w:hint="eastAsia"/>
          <w:sz w:val="32"/>
          <w:szCs w:val="32"/>
        </w:rPr>
        <w:t>元，增长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39.9</w:t>
      </w:r>
      <w:r>
        <w:rPr>
          <w:rFonts w:ascii="Times New Roman" w:eastAsia="方正仿宋_GBK" w:cs="Times New Roman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，占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75.1</w:t>
      </w:r>
      <w:r>
        <w:rPr>
          <w:rFonts w:ascii="Times New Roman" w:eastAsia="方正仿宋_GBK" w:cs="Times New Roman" w:hAnsi="Times New Roman"/>
          <w:sz w:val="32"/>
          <w:szCs w:val="32"/>
        </w:rPr>
        <w:t>%</w:t>
      </w:r>
      <w:r>
        <w:rPr>
          <w:rFonts w:ascii="Times New Roman" w:eastAsia="方正仿宋_GBK" w:hAnsi="Times New Roman" w:hint="eastAsia"/>
          <w:sz w:val="32"/>
          <w:szCs w:val="32"/>
        </w:rPr>
        <w:t>；外商投资企业出口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61.7亿元，增长170.5</w:t>
      </w:r>
      <w:r>
        <w:rPr>
          <w:rFonts w:ascii="Times New Roman" w:eastAsia="方正仿宋_GBK" w:cs="Times New Roman" w:hAnsi="Times New Roman"/>
          <w:sz w:val="32"/>
          <w:szCs w:val="32"/>
        </w:rPr>
        <w:t>%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，占24.7</w:t>
      </w:r>
      <w:r>
        <w:rPr>
          <w:rFonts w:ascii="Times New Roman" w:eastAsia="方正仿宋_GBK" w:cs="Times New Roman" w:hAnsi="Times New Roman"/>
          <w:sz w:val="32"/>
          <w:szCs w:val="32"/>
        </w:rPr>
        <w:t>%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；国有企业出口0.5亿元，下降60.8</w:t>
      </w:r>
      <w:r>
        <w:rPr>
          <w:rFonts w:ascii="Times New Roman" w:eastAsia="方正仿宋_GBK" w:cs="Times New Roman" w:hAnsi="Times New Roman"/>
          <w:sz w:val="32"/>
          <w:szCs w:val="32"/>
        </w:rPr>
        <w:t>%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。</w:t>
      </w:r>
    </w:p>
    <w:p>
      <w:pPr>
        <w:pStyle w:val="44"/>
        <w:autoSpaceDN w:val="0"/>
        <w:spacing w:line="560" w:lineRule="exact"/>
        <w:ind w:firstLineChars="200" w:firstLine="632"/>
        <w:rPr>
          <w:rFonts w:ascii="Times New Roman" w:cs="Times New Roman" w:hAnsi="Times New Roman"/>
          <w:iCs/>
          <w:szCs w:val="32"/>
        </w:rPr>
      </w:pPr>
      <w:r>
        <w:rPr>
          <w:rFonts w:ascii="Times New Roman" w:eastAsia="方正楷体_GBK" w:hAnsi="Times New Roman" w:hint="eastAsia"/>
          <w:b/>
          <w:bCs/>
          <w:sz w:val="32"/>
          <w:szCs w:val="32"/>
        </w:rPr>
        <w:t>三</w:t>
      </w:r>
      <w:r>
        <w:rPr>
          <w:rFonts w:ascii="Times New Roman" w:eastAsia="方正楷体_GBK" w:hAnsi="Times New Roman"/>
          <w:b/>
          <w:bCs/>
          <w:sz w:val="32"/>
          <w:szCs w:val="32"/>
        </w:rPr>
        <w:t>是</w:t>
      </w:r>
      <w:r>
        <w:rPr>
          <w:rFonts w:ascii="Times New Roman" w:eastAsia="方正楷体_GBK" w:hAnsi="Times New Roman" w:hint="eastAsia"/>
          <w:b/>
          <w:bCs/>
          <w:sz w:val="32"/>
          <w:szCs w:val="32"/>
        </w:rPr>
        <w:t>多元化市场布局持续优化</w:t>
      </w:r>
      <w:r>
        <w:rPr>
          <w:rFonts w:ascii="Times New Roman" w:eastAsia="方正楷体_GBK" w:hAnsi="Times New Roman"/>
          <w:b/>
          <w:bCs/>
          <w:sz w:val="32"/>
          <w:szCs w:val="32"/>
        </w:rPr>
        <w:t>。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传统市场与新兴市场同</w:t>
      </w:r>
      <w:r>
        <w:rPr>
          <w:rFonts w:eastAsia="方正仿宋_GBK" w:hint="eastAsia"/>
          <w:sz w:val="32"/>
          <w:szCs w:val="32"/>
        </w:rPr>
        <w:t>步发力、均衡发展，</w:t>
      </w:r>
      <w:r>
        <w:rPr>
          <w:rFonts w:eastAsia="方正仿宋_GBK"/>
          <w:sz w:val="32"/>
          <w:szCs w:val="32"/>
        </w:rPr>
        <w:t>上半年，</w:t>
      </w:r>
      <w:r>
        <w:rPr>
          <w:rFonts w:eastAsia="方正仿宋_GBK"/>
          <w:iCs/>
          <w:sz w:val="32"/>
          <w:szCs w:val="32"/>
        </w:rPr>
        <w:t>深</w:t>
      </w:r>
      <w:r>
        <w:rPr>
          <w:rFonts w:ascii="Times New Roman" w:eastAsia="方正仿宋_GBK" w:cs="Times New Roman" w:hAnsi="Times New Roman"/>
          <w:iCs/>
          <w:sz w:val="32"/>
          <w:szCs w:val="32"/>
        </w:rPr>
        <w:t>圳市对欧盟、美国、香港地区、东盟、韩国等前五大贸易伙伴</w:t>
      </w:r>
      <w:r>
        <w:rPr>
          <w:rFonts w:ascii="Times New Roman" w:eastAsia="方正仿宋_GBK" w:cs="Times New Roman" w:hAnsi="Times New Roman" w:hint="eastAsia"/>
          <w:iCs/>
          <w:sz w:val="32"/>
          <w:szCs w:val="32"/>
        </w:rPr>
        <w:t>出口“</w:t>
      </w:r>
      <w:r>
        <w:rPr>
          <w:rFonts w:ascii="Times New Roman" w:eastAsia="方正仿宋_GBK" w:cs="Times New Roman" w:hAnsi="Times New Roman"/>
          <w:iCs/>
          <w:sz w:val="32"/>
          <w:szCs w:val="32"/>
        </w:rPr>
        <w:t>新三品</w:t>
      </w:r>
      <w:r>
        <w:rPr>
          <w:rFonts w:ascii="Times New Roman" w:eastAsia="方正仿宋_GBK" w:cs="Times New Roman" w:hAnsi="Times New Roman" w:hint="eastAsia"/>
          <w:iCs/>
          <w:sz w:val="32"/>
          <w:szCs w:val="32"/>
        </w:rPr>
        <w:t>”</w:t>
      </w:r>
      <w:r>
        <w:rPr>
          <w:rFonts w:ascii="Times New Roman" w:eastAsia="方正仿宋_GBK" w:cs="Times New Roman" w:hAnsi="Times New Roman"/>
          <w:iCs/>
          <w:sz w:val="32"/>
          <w:szCs w:val="32"/>
        </w:rPr>
        <w:t>产品</w:t>
      </w:r>
      <w:r>
        <w:rPr>
          <w:rFonts w:ascii="Times New Roman" w:eastAsia="方正仿宋_GBK" w:cs="Times New Roman" w:hAnsi="Times New Roman" w:hint="eastAsia"/>
          <w:iCs/>
          <w:sz w:val="32"/>
          <w:szCs w:val="32"/>
        </w:rPr>
        <w:t>均保持增长，分别</w:t>
      </w:r>
      <w:r>
        <w:rPr>
          <w:rFonts w:ascii="Times New Roman" w:eastAsia="方正仿宋_GBK" w:cs="Times New Roman" w:hAnsi="Times New Roman"/>
          <w:iCs/>
          <w:sz w:val="32"/>
          <w:szCs w:val="32"/>
        </w:rPr>
        <w:t>出口</w:t>
      </w:r>
      <w:r>
        <w:rPr>
          <w:rFonts w:ascii="Times New Roman" w:eastAsia="方正仿宋_GBK" w:cs="Times New Roman" w:hAnsi="Times New Roman" w:hint="eastAsia"/>
          <w:iCs/>
          <w:sz w:val="32"/>
          <w:szCs w:val="32"/>
        </w:rPr>
        <w:t>58.7亿元、35.2亿元、29.1亿元、25亿元、9.3亿元，分别增长22.3%、12.8%、143.7%、82.5%、124.1%，</w:t>
      </w:r>
      <w:r>
        <w:rPr>
          <w:rFonts w:ascii="Times New Roman" w:eastAsia="方正仿宋_GBK" w:cs="Times New Roman" w:hAnsi="Times New Roman"/>
          <w:iCs/>
          <w:sz w:val="32"/>
          <w:szCs w:val="32"/>
        </w:rPr>
        <w:t>合计占</w:t>
      </w:r>
      <w:r>
        <w:rPr>
          <w:rFonts w:ascii="Times New Roman" w:eastAsia="方正仿宋_GBK" w:cs="Times New Roman" w:hAnsi="Times New Roman" w:hint="eastAsia"/>
          <w:iCs/>
          <w:sz w:val="32"/>
          <w:szCs w:val="32"/>
        </w:rPr>
        <w:t>63%。</w:t>
      </w:r>
      <w:r>
        <w:rPr>
          <w:rFonts w:ascii="Times New Roman" w:eastAsia="方正仿宋_GBK" w:cs="Times New Roman" w:hAnsi="Times New Roman"/>
          <w:iCs/>
          <w:sz w:val="32"/>
          <w:szCs w:val="32"/>
        </w:rPr>
        <w:t xml:space="preserve"> </w:t>
      </w:r>
    </w:p>
    <w:p>
      <w:pPr>
        <w:pStyle w:val="42"/>
        <w:autoSpaceDN w:val="0"/>
        <w:spacing w:beforeLines="50" w:before="290" w:afterLines="50" w:after="290" w:line="40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hint="eastAsia"/>
          <w:b/>
          <w:bCs/>
          <w:sz w:val="28"/>
          <w:szCs w:val="28"/>
        </w:rPr>
        <w:t>上半年深圳市“新三品”产品出口主要市场情况表</w:t>
      </w:r>
    </w:p>
    <w:p>
      <w:pPr>
        <w:pStyle w:val="43"/>
        <w:autoSpaceDN w:val="0"/>
        <w:spacing w:line="400" w:lineRule="exact"/>
        <w:jc w:val="right"/>
        <w:rPr>
          <w:rFonts w:ascii="Times New Roman" w:eastAsia="方正黑体_GBK" w:cs="Times New Roman" w:hAnsi="Times New Roman"/>
          <w:sz w:val="32"/>
          <w:szCs w:val="32"/>
        </w:rPr>
      </w:pPr>
      <w:r>
        <w:rPr>
          <w:rFonts w:eastAsia="方正仿宋_GBK" w:hint="eastAsia"/>
          <w:bCs/>
          <w:szCs w:val="21"/>
        </w:rPr>
        <w:t>单位：亿元人民币</w:t>
      </w:r>
      <w:r>
        <w:rPr>
          <w:rFonts w:ascii="Times New Roman" w:eastAsia="方正仿宋_GBK" w:hAnsi="Times New Roman" w:hint="eastAsia"/>
          <w:bCs/>
          <w:sz w:val="24"/>
          <w:szCs w:val="24"/>
        </w:rPr>
        <w:t>，</w:t>
      </w:r>
      <w:r>
        <w:rPr>
          <w:rFonts w:ascii="Times New Roman" w:eastAsia="方正仿宋_GBK" w:cs="Times New Roman" w:hAnsi="Times New Roman"/>
          <w:bCs/>
          <w:sz w:val="24"/>
          <w:szCs w:val="24"/>
        </w:rPr>
        <w:t>%</w:t>
      </w:r>
      <w:r>
        <w:rPr>
          <w:rFonts w:ascii="Times New Roman" w:eastAsia="方正仿宋_GBK" w:hAnsi="Times New Roman" w:hint="eastAsia"/>
          <w:bCs/>
          <w:sz w:val="24"/>
          <w:szCs w:val="24"/>
        </w:rPr>
        <w:t>，</w:t>
      </w:r>
      <w:r>
        <w:rPr>
          <w:rFonts w:ascii="Times New Roman" w:eastAsia="方正仿宋_GBK" w:cs="Times New Roman" w:hAnsi="Times New Roman"/>
          <w:bCs/>
          <w:sz w:val="24"/>
          <w:szCs w:val="24"/>
        </w:rPr>
        <w:t>%</w:t>
      </w:r>
    </w:p>
    <w:tbl>
      <w:tblPr>
        <w:jc w:val="center"/>
        <w:tblW w:w="3063" w:type="pct"/>
        <w:tbl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1565"/>
        <w:gridCol w:w="969"/>
        <w:gridCol w:w="947"/>
      </w:tblGrid>
      <w:tr>
        <w:trPr>
          <w:trHeight w:val="315"/>
        </w:trPr>
        <w:tc>
          <w:tcPr>
            <w:tcW w:w="1663" w:type="pct"/>
            <w:vMerge w:val="restart"/>
            <w:tcBorders>
              <w:top w:val="single" w:sz="8" w:space="0" w:color="CCE8CF"/>
              <w:left w:val="single" w:sz="8" w:space="0" w:color="CCE8CF"/>
              <w:bottom w:val="nil"/>
              <w:right w:val="single" w:sz="8" w:space="0" w:color="CCE8CF"/>
            </w:tcBorders>
            <w:shd w:val="clear" w:color="auto" w:fill="4BACC6"/>
            <w:vAlign w:val="center"/>
          </w:tcPr>
          <w:p>
            <w:pPr>
              <w:pStyle w:val="42"/>
              <w:widowControl/>
              <w:autoSpaceDN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市场</w:t>
            </w:r>
          </w:p>
        </w:tc>
        <w:tc>
          <w:tcPr>
            <w:tcW w:w="3337" w:type="pct"/>
            <w:gridSpan w:val="3"/>
            <w:tcBorders>
              <w:top w:val="single" w:sz="8" w:space="0" w:color="CCE8CF"/>
              <w:left w:val="single" w:sz="8" w:space="0" w:color="CCE8CF"/>
              <w:bottom w:val="single" w:sz="24" w:space="0" w:color="CCE8CF"/>
              <w:right w:val="single" w:sz="8" w:space="0" w:color="CCE8CF"/>
            </w:tcBorders>
            <w:shd w:val="clear" w:color="auto" w:fill="4BACC6"/>
          </w:tcPr>
          <w:p>
            <w:pPr>
              <w:pStyle w:val="42"/>
              <w:widowControl/>
              <w:autoSpaceDN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6年上半年</w:t>
            </w:r>
          </w:p>
        </w:tc>
      </w:tr>
      <w:tr>
        <w:trPr>
          <w:trHeight w:val="315"/>
        </w:trPr>
        <w:tc>
          <w:tcPr>
            <w:tcW w:w="4337" w:type="pct"/>
            <w:vMerge/>
            <w:tcBorders>
              <w:top w:val="single" w:sz="8" w:space="0" w:color="CCE8CF"/>
              <w:left w:val="single" w:sz="8" w:space="0" w:color="CCE8CF"/>
              <w:bottom w:val="nil"/>
              <w:right w:val="single" w:sz="8" w:space="0" w:color="CCE8CF"/>
            </w:tcBorders>
            <w:vAlign w:val="center"/>
          </w:tcPr>
          <w:p/>
        </w:tc>
        <w:tc>
          <w:tcPr>
            <w:tcW w:w="1500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A5D5E2"/>
          </w:tcPr>
          <w:p>
            <w:pPr>
              <w:pStyle w:val="42"/>
              <w:widowControl/>
              <w:autoSpaceDN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出口值</w:t>
            </w:r>
          </w:p>
        </w:tc>
        <w:tc>
          <w:tcPr>
            <w:tcW w:w="929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A5D5E2"/>
          </w:tcPr>
          <w:p>
            <w:pPr>
              <w:pStyle w:val="42"/>
              <w:widowControl/>
              <w:autoSpaceDN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同比</w:t>
            </w:r>
          </w:p>
        </w:tc>
        <w:tc>
          <w:tcPr>
            <w:tcW w:w="90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A5D5E2"/>
          </w:tcPr>
          <w:p>
            <w:pPr>
              <w:pStyle w:val="42"/>
              <w:widowControl/>
              <w:autoSpaceDN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占比</w:t>
            </w:r>
          </w:p>
        </w:tc>
      </w:tr>
      <w:tr>
        <w:trPr>
          <w:trHeight w:hRule="exact" w:val="340"/>
        </w:trPr>
        <w:tc>
          <w:tcPr>
            <w:tcW w:w="1663" w:type="pct"/>
            <w:tcBorders>
              <w:top w:val="single" w:sz="6" w:space="0" w:color="CCE8CF"/>
              <w:left w:val="single" w:sz="8" w:space="0" w:color="CCE8CF"/>
              <w:bottom w:val="nil"/>
              <w:right w:val="single" w:sz="24" w:space="0" w:color="CCE8CF"/>
            </w:tcBorders>
            <w:shd w:val="clear" w:color="auto" w:fill="4BACC6"/>
            <w:noWrap/>
            <w:vAlign w:val="center"/>
          </w:tcPr>
          <w:p>
            <w:pPr>
              <w:pStyle w:val="42"/>
              <w:autoSpaceDN w:val="0"/>
              <w:adjustRightInd w:val="0"/>
              <w:snapToGrid w:val="0"/>
              <w:jc w:val="center"/>
              <w:rPr>
                <w:rFonts w:asci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欧盟</w:t>
            </w:r>
          </w:p>
        </w:tc>
        <w:tc>
          <w:tcPr>
            <w:tcW w:w="1500" w:type="pct"/>
            <w:tcBorders>
              <w:top w:val="single" w:sz="8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58.7 </w:t>
            </w:r>
          </w:p>
        </w:tc>
        <w:tc>
          <w:tcPr>
            <w:tcW w:w="929" w:type="pct"/>
            <w:tcBorders>
              <w:top w:val="single" w:sz="8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22.3 </w:t>
            </w:r>
          </w:p>
        </w:tc>
        <w:tc>
          <w:tcPr>
            <w:tcW w:w="908" w:type="pct"/>
            <w:tcBorders>
              <w:top w:val="single" w:sz="8" w:space="0" w:color="CCE8CF"/>
              <w:left w:val="single" w:sz="6" w:space="0" w:color="CCE8CF"/>
              <w:bottom w:val="single" w:sz="6" w:space="0" w:color="CCE8CF"/>
              <w:right w:val="single" w:sz="8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23.5 </w:t>
            </w:r>
          </w:p>
        </w:tc>
      </w:tr>
      <w:tr>
        <w:trPr>
          <w:trHeight w:hRule="exact" w:val="340"/>
        </w:trPr>
        <w:tc>
          <w:tcPr>
            <w:tcW w:w="1663" w:type="pct"/>
            <w:tcBorders>
              <w:top w:val="single" w:sz="6" w:space="0" w:color="CCE8CF"/>
              <w:left w:val="single" w:sz="8" w:space="0" w:color="CCE8CF"/>
              <w:bottom w:val="nil"/>
              <w:right w:val="single" w:sz="24" w:space="0" w:color="CCE8CF"/>
            </w:tcBorders>
            <w:shd w:val="clear" w:color="auto" w:fill="4BACC6"/>
            <w:noWrap/>
            <w:vAlign w:val="center"/>
          </w:tcPr>
          <w:p>
            <w:pPr>
              <w:pStyle w:val="42"/>
              <w:autoSpaceDN w:val="0"/>
              <w:adjustRightInd w:val="0"/>
              <w:snapToGrid w:val="0"/>
              <w:jc w:val="center"/>
              <w:rPr>
                <w:rFonts w:ascii="微软雅黑" w:eastAsia="微软雅黑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美国</w:t>
            </w:r>
          </w:p>
        </w:tc>
        <w:tc>
          <w:tcPr>
            <w:tcW w:w="1500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35.2 </w:t>
            </w:r>
          </w:p>
        </w:tc>
        <w:tc>
          <w:tcPr>
            <w:tcW w:w="929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12.8 </w:t>
            </w:r>
          </w:p>
        </w:tc>
        <w:tc>
          <w:tcPr>
            <w:tcW w:w="908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8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14.1 </w:t>
            </w:r>
          </w:p>
        </w:tc>
      </w:tr>
      <w:tr>
        <w:trPr>
          <w:trHeight w:hRule="exact" w:val="340"/>
        </w:trPr>
        <w:tc>
          <w:tcPr>
            <w:tcW w:w="1663" w:type="pct"/>
            <w:tcBorders>
              <w:top w:val="single" w:sz="6" w:space="0" w:color="CCE8CF"/>
              <w:left w:val="single" w:sz="8" w:space="0" w:color="CCE8CF"/>
              <w:bottom w:val="nil"/>
              <w:right w:val="single" w:sz="24" w:space="0" w:color="CCE8CF"/>
            </w:tcBorders>
            <w:shd w:val="clear" w:color="auto" w:fill="4BACC6"/>
            <w:noWrap/>
            <w:vAlign w:val="center"/>
          </w:tcPr>
          <w:p>
            <w:pPr>
              <w:pStyle w:val="42"/>
              <w:autoSpaceDN w:val="0"/>
              <w:adjustRightInd w:val="0"/>
              <w:snapToGrid w:val="0"/>
              <w:jc w:val="center"/>
              <w:rPr>
                <w:rFonts w:ascii="微软雅黑" w:eastAsia="微软雅黑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中国香港地区</w:t>
            </w:r>
          </w:p>
        </w:tc>
        <w:tc>
          <w:tcPr>
            <w:tcW w:w="1500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29.1 </w:t>
            </w:r>
          </w:p>
        </w:tc>
        <w:tc>
          <w:tcPr>
            <w:tcW w:w="929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143.7 </w:t>
            </w:r>
          </w:p>
        </w:tc>
        <w:tc>
          <w:tcPr>
            <w:tcW w:w="908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8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11.6 </w:t>
            </w:r>
          </w:p>
        </w:tc>
      </w:tr>
      <w:tr>
        <w:trPr>
          <w:trHeight w:hRule="exact" w:val="340"/>
        </w:trPr>
        <w:tc>
          <w:tcPr>
            <w:tcW w:w="1663" w:type="pct"/>
            <w:tcBorders>
              <w:top w:val="single" w:sz="8" w:space="0" w:color="CCE8CF"/>
              <w:left w:val="single" w:sz="8" w:space="0" w:color="CCE8CF"/>
              <w:bottom w:val="nil"/>
              <w:right w:val="single" w:sz="24" w:space="0" w:color="CCE8CF"/>
            </w:tcBorders>
            <w:shd w:val="clear" w:color="auto" w:fill="4BACC6"/>
            <w:noWrap/>
            <w:vAlign w:val="center"/>
          </w:tcPr>
          <w:p>
            <w:pPr>
              <w:pStyle w:val="42"/>
              <w:autoSpaceDN w:val="0"/>
              <w:adjustRightInd w:val="0"/>
              <w:snapToGrid w:val="0"/>
              <w:jc w:val="center"/>
              <w:rPr>
                <w:rFonts w:ascii="微软雅黑" w:eastAsia="微软雅黑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东盟</w:t>
            </w:r>
          </w:p>
        </w:tc>
        <w:tc>
          <w:tcPr>
            <w:tcW w:w="1500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25.0 </w:t>
            </w:r>
          </w:p>
        </w:tc>
        <w:tc>
          <w:tcPr>
            <w:tcW w:w="929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82.5 </w:t>
            </w:r>
          </w:p>
        </w:tc>
        <w:tc>
          <w:tcPr>
            <w:tcW w:w="90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10.0 </w:t>
            </w:r>
          </w:p>
        </w:tc>
      </w:tr>
      <w:tr>
        <w:trPr>
          <w:trHeight w:hRule="exact" w:val="340"/>
        </w:trPr>
        <w:tc>
          <w:tcPr>
            <w:tcW w:w="1663" w:type="pct"/>
            <w:tcBorders>
              <w:top w:val="single" w:sz="6" w:space="0" w:color="CCE8CF"/>
              <w:left w:val="single" w:sz="8" w:space="0" w:color="CCE8CF"/>
              <w:bottom w:val="single" w:sz="6" w:space="0" w:color="CCE8CF"/>
              <w:right w:val="single" w:sz="24" w:space="0" w:color="CCE8CF"/>
            </w:tcBorders>
            <w:shd w:val="clear" w:color="auto" w:fill="4BACC6"/>
            <w:noWrap/>
            <w:vAlign w:val="center"/>
          </w:tcPr>
          <w:p>
            <w:pPr>
              <w:pStyle w:val="42"/>
              <w:autoSpaceDN w:val="0"/>
              <w:adjustRightInd w:val="0"/>
              <w:snapToGrid w:val="0"/>
              <w:jc w:val="center"/>
              <w:rPr>
                <w:rFonts w:ascii="微软雅黑" w:eastAsia="微软雅黑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韩国</w:t>
            </w:r>
          </w:p>
        </w:tc>
        <w:tc>
          <w:tcPr>
            <w:tcW w:w="1500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9.3 </w:t>
            </w:r>
          </w:p>
        </w:tc>
        <w:tc>
          <w:tcPr>
            <w:tcW w:w="929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124.1 </w:t>
            </w:r>
          </w:p>
        </w:tc>
        <w:tc>
          <w:tcPr>
            <w:tcW w:w="908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8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 </w:t>
            </w:r>
          </w:p>
        </w:tc>
      </w:tr>
      <w:tr>
        <w:trPr>
          <w:trHeight w:hRule="exact" w:val="340"/>
        </w:trPr>
        <w:tc>
          <w:tcPr>
            <w:tcW w:w="1663" w:type="pct"/>
            <w:tcBorders>
              <w:top w:val="single" w:sz="8" w:space="0" w:color="CCE8CF"/>
              <w:left w:val="single" w:sz="8" w:space="0" w:color="CCE8CF"/>
              <w:bottom w:val="nil"/>
              <w:right w:val="single" w:sz="24" w:space="0" w:color="CCE8CF"/>
            </w:tcBorders>
            <w:shd w:val="clear" w:color="auto" w:fill="4BACC6"/>
            <w:noWrap/>
            <w:vAlign w:val="center"/>
          </w:tcPr>
          <w:p>
            <w:pPr>
              <w:pStyle w:val="42"/>
              <w:autoSpaceDN w:val="0"/>
              <w:adjustRightInd w:val="0"/>
              <w:snapToGrid w:val="0"/>
              <w:jc w:val="center"/>
              <w:rPr>
                <w:rFonts w:ascii="微软雅黑" w:eastAsia="微软雅黑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英国</w:t>
            </w:r>
          </w:p>
        </w:tc>
        <w:tc>
          <w:tcPr>
            <w:tcW w:w="1500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8.9 </w:t>
            </w:r>
          </w:p>
        </w:tc>
        <w:tc>
          <w:tcPr>
            <w:tcW w:w="929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32.0 </w:t>
            </w:r>
          </w:p>
        </w:tc>
        <w:tc>
          <w:tcPr>
            <w:tcW w:w="90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 </w:t>
            </w:r>
          </w:p>
        </w:tc>
      </w:tr>
      <w:tr>
        <w:trPr>
          <w:trHeight w:hRule="exact" w:val="340"/>
        </w:trPr>
        <w:tc>
          <w:tcPr>
            <w:tcW w:w="1663" w:type="pct"/>
            <w:tcBorders>
              <w:top w:val="single" w:sz="6" w:space="0" w:color="CCE8CF"/>
              <w:left w:val="single" w:sz="8" w:space="0" w:color="CCE8CF"/>
              <w:bottom w:val="single" w:sz="6" w:space="0" w:color="CCE8CF"/>
              <w:right w:val="single" w:sz="24" w:space="0" w:color="CCE8CF"/>
            </w:tcBorders>
            <w:shd w:val="clear" w:color="auto" w:fill="4BACC6"/>
            <w:noWrap/>
            <w:vAlign w:val="center"/>
          </w:tcPr>
          <w:p>
            <w:pPr>
              <w:pStyle w:val="42"/>
              <w:autoSpaceDN w:val="0"/>
              <w:adjustRightInd w:val="0"/>
              <w:snapToGrid w:val="0"/>
              <w:jc w:val="center"/>
              <w:rPr>
                <w:rFonts w:ascii="微软雅黑" w:eastAsia="微软雅黑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日本</w:t>
            </w:r>
          </w:p>
        </w:tc>
        <w:tc>
          <w:tcPr>
            <w:tcW w:w="1500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8.3 </w:t>
            </w:r>
          </w:p>
        </w:tc>
        <w:tc>
          <w:tcPr>
            <w:tcW w:w="929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42.3 </w:t>
            </w:r>
          </w:p>
        </w:tc>
        <w:tc>
          <w:tcPr>
            <w:tcW w:w="908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8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 </w:t>
            </w:r>
          </w:p>
        </w:tc>
      </w:tr>
      <w:tr>
        <w:trPr>
          <w:trHeight w:hRule="exact" w:val="340"/>
        </w:trPr>
        <w:tc>
          <w:tcPr>
            <w:tcW w:w="1663" w:type="pct"/>
            <w:tcBorders>
              <w:top w:val="single" w:sz="8" w:space="0" w:color="CCE8CF"/>
              <w:left w:val="single" w:sz="8" w:space="0" w:color="CCE8CF"/>
              <w:bottom w:val="nil"/>
              <w:right w:val="single" w:sz="24" w:space="0" w:color="CCE8CF"/>
            </w:tcBorders>
            <w:shd w:val="clear" w:color="auto" w:fill="4BACC6"/>
            <w:noWrap/>
            <w:vAlign w:val="center"/>
          </w:tcPr>
          <w:p>
            <w:pPr>
              <w:pStyle w:val="42"/>
              <w:autoSpaceDN w:val="0"/>
              <w:adjustRightInd w:val="0"/>
              <w:snapToGrid w:val="0"/>
              <w:jc w:val="center"/>
              <w:rPr>
                <w:rFonts w:ascii="微软雅黑" w:eastAsia="微软雅黑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阿联酋</w:t>
            </w:r>
          </w:p>
        </w:tc>
        <w:tc>
          <w:tcPr>
            <w:tcW w:w="1500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8.3 </w:t>
            </w:r>
          </w:p>
        </w:tc>
        <w:tc>
          <w:tcPr>
            <w:tcW w:w="929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133.9 </w:t>
            </w:r>
          </w:p>
        </w:tc>
        <w:tc>
          <w:tcPr>
            <w:tcW w:w="90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 </w:t>
            </w:r>
          </w:p>
        </w:tc>
      </w:tr>
      <w:tr>
        <w:trPr>
          <w:trHeight w:hRule="exact" w:val="340"/>
        </w:trPr>
        <w:tc>
          <w:tcPr>
            <w:tcW w:w="1663" w:type="pct"/>
            <w:tcBorders>
              <w:top w:val="single" w:sz="8" w:space="0" w:color="CCE8CF"/>
              <w:left w:val="single" w:sz="8" w:space="0" w:color="CCE8CF"/>
              <w:bottom w:val="nil"/>
              <w:right w:val="single" w:sz="24" w:space="0" w:color="CCE8CF"/>
            </w:tcBorders>
            <w:shd w:val="clear" w:color="auto" w:fill="4BACC6"/>
            <w:noWrap/>
            <w:vAlign w:val="center"/>
          </w:tcPr>
          <w:p>
            <w:pPr>
              <w:pStyle w:val="42"/>
              <w:autoSpaceDN w:val="0"/>
              <w:adjustRightInd w:val="0"/>
              <w:snapToGrid w:val="0"/>
              <w:jc w:val="center"/>
              <w:rPr>
                <w:rFonts w:ascii="微软雅黑" w:eastAsia="微软雅黑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澳大利亚</w:t>
            </w:r>
          </w:p>
        </w:tc>
        <w:tc>
          <w:tcPr>
            <w:tcW w:w="1500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7.5 </w:t>
            </w:r>
          </w:p>
        </w:tc>
        <w:tc>
          <w:tcPr>
            <w:tcW w:w="929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27.2 </w:t>
            </w:r>
          </w:p>
        </w:tc>
        <w:tc>
          <w:tcPr>
            <w:tcW w:w="90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3.0 </w:t>
            </w:r>
          </w:p>
        </w:tc>
      </w:tr>
      <w:tr>
        <w:trPr>
          <w:trHeight w:hRule="exact" w:val="340"/>
        </w:trPr>
        <w:tc>
          <w:tcPr>
            <w:tcW w:w="1663" w:type="pct"/>
            <w:tcBorders>
              <w:top w:val="single" w:sz="6" w:space="0" w:color="CCE8CF"/>
              <w:left w:val="single" w:sz="8" w:space="0" w:color="CCE8CF"/>
              <w:bottom w:val="single" w:sz="8" w:space="0" w:color="CCE8CF"/>
              <w:right w:val="single" w:sz="24" w:space="0" w:color="CCE8CF"/>
            </w:tcBorders>
            <w:shd w:val="clear" w:color="auto" w:fill="4BACC6"/>
            <w:noWrap/>
            <w:vAlign w:val="center"/>
          </w:tcPr>
          <w:p>
            <w:pPr>
              <w:pStyle w:val="42"/>
              <w:autoSpaceDN w:val="0"/>
              <w:adjustRightInd w:val="0"/>
              <w:snapToGrid w:val="0"/>
              <w:jc w:val="center"/>
              <w:rPr>
                <w:rFonts w:ascii="微软雅黑" w:eastAsia="微软雅黑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巴基斯坦</w:t>
            </w:r>
          </w:p>
        </w:tc>
        <w:tc>
          <w:tcPr>
            <w:tcW w:w="1500" w:type="pct"/>
            <w:tcBorders>
              <w:top w:val="single" w:sz="6" w:space="0" w:color="CCE8CF"/>
              <w:left w:val="single" w:sz="6" w:space="0" w:color="CCE8CF"/>
              <w:bottom w:val="single" w:sz="8" w:space="0" w:color="CCE8CF"/>
              <w:right w:val="single" w:sz="6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7.4 </w:t>
            </w:r>
          </w:p>
        </w:tc>
        <w:tc>
          <w:tcPr>
            <w:tcW w:w="929" w:type="pct"/>
            <w:tcBorders>
              <w:top w:val="single" w:sz="6" w:space="0" w:color="CCE8CF"/>
              <w:left w:val="single" w:sz="6" w:space="0" w:color="CCE8CF"/>
              <w:bottom w:val="single" w:sz="8" w:space="0" w:color="CCE8CF"/>
              <w:right w:val="single" w:sz="6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1184.3 </w:t>
            </w:r>
          </w:p>
        </w:tc>
        <w:tc>
          <w:tcPr>
            <w:tcW w:w="908" w:type="pct"/>
            <w:tcBorders>
              <w:top w:val="single" w:sz="6" w:space="0" w:color="CCE8CF"/>
              <w:left w:val="single" w:sz="6" w:space="0" w:color="CCE8CF"/>
              <w:bottom w:val="single" w:sz="8" w:space="0" w:color="CCE8CF"/>
              <w:right w:val="single" w:sz="8" w:space="0" w:color="CCE8CF"/>
            </w:tcBorders>
            <w:shd w:val="clear" w:color="auto" w:fill="B6DDE8"/>
            <w:noWrap/>
            <w:vAlign w:val="center"/>
          </w:tcPr>
          <w:p>
            <w:pPr>
              <w:pStyle w:val="42"/>
              <w:autoSpaceDN w:val="0"/>
              <w:spacing w:line="240" w:lineRule="exact"/>
              <w:jc w:val="center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2.9 </w:t>
            </w:r>
          </w:p>
        </w:tc>
      </w:tr>
    </w:tbl>
    <w:p>
      <w:pPr>
        <w:pStyle w:val="42"/>
        <w:autoSpaceDN w:val="0"/>
        <w:spacing w:line="560" w:lineRule="exact"/>
        <w:ind w:firstLineChars="200" w:firstLine="368"/>
        <w:jc w:val="both"/>
        <w:rPr>
          <w:rFonts w:ascii="Times New Roman" w:eastAsia="方正仿宋_GBK" w:hAnsi="Times New Roman"/>
          <w:spacing w:val="-6"/>
          <w:sz w:val="20"/>
          <w:szCs w:val="20"/>
        </w:rPr>
      </w:pPr>
    </w:p>
    <w:p>
      <w:pPr>
        <w:spacing w:line="560" w:lineRule="exact"/>
        <w:ind w:firstLineChars="200" w:firstLine="632"/>
      </w:pPr>
      <w:r>
        <w:rPr>
          <w:rFonts w:ascii="方正楷体_GBK" w:eastAsia="方正楷体_GBK" w:hint="eastAsia"/>
          <w:b/>
          <w:bCs/>
          <w:szCs w:val="32"/>
        </w:rPr>
        <w:t>四是3D打印机、无人机、数字照相机均</w:t>
      </w:r>
      <w:r>
        <w:rPr>
          <w:rFonts w:ascii="方正楷体_GBK" w:eastAsia="方正楷体_GBK"/>
          <w:b/>
          <w:bCs/>
          <w:szCs w:val="32"/>
        </w:rPr>
        <w:t>呈增势</w:t>
      </w:r>
      <w:r>
        <w:rPr>
          <w:rFonts w:ascii="方正楷体_GBK" w:eastAsia="方正楷体_GBK" w:hint="eastAsia"/>
          <w:b/>
          <w:bCs/>
          <w:szCs w:val="32"/>
        </w:rPr>
        <w:t>。</w:t>
      </w:r>
      <w:r>
        <w:rPr>
          <w:rFonts w:hint="eastAsia"/>
          <w:szCs w:val="32"/>
        </w:rPr>
        <w:t>上半年，深圳市出口3D打印机82.7亿元，增长127.5</w:t>
      </w:r>
      <w:r>
        <w:rPr>
          <w:szCs w:val="32"/>
        </w:rPr>
        <w:t>%</w:t>
      </w:r>
      <w:r>
        <w:rPr>
          <w:rFonts w:hint="eastAsia"/>
          <w:szCs w:val="32"/>
        </w:rPr>
        <w:t>，其中对美国、欧盟分别出口30.8亿元、25.3亿元，增长127.3</w:t>
      </w:r>
      <w:r>
        <w:rPr>
          <w:szCs w:val="32"/>
        </w:rPr>
        <w:t>%</w:t>
      </w:r>
      <w:r>
        <w:rPr>
          <w:rFonts w:hint="eastAsia"/>
          <w:szCs w:val="32"/>
        </w:rPr>
        <w:t>、119.3</w:t>
      </w:r>
      <w:r>
        <w:rPr>
          <w:szCs w:val="32"/>
        </w:rPr>
        <w:t>%</w:t>
      </w:r>
      <w:r>
        <w:rPr>
          <w:rFonts w:hint="eastAsia"/>
          <w:szCs w:val="32"/>
        </w:rPr>
        <w:t>。出口无人机105.7亿元，增长24.1</w:t>
      </w:r>
      <w:r>
        <w:rPr>
          <w:szCs w:val="32"/>
        </w:rPr>
        <w:t>%</w:t>
      </w:r>
      <w:r>
        <w:rPr>
          <w:rFonts w:hint="eastAsia"/>
          <w:szCs w:val="32"/>
        </w:rPr>
        <w:t>，其中对欧盟、香港地区分别出口19.6亿元、15.8亿元，分别下降33.5%、增长66.4%；对拉美、东盟、中东分别出口15.2亿元、14.6亿元、7.5亿元，快速增长63.1</w:t>
      </w:r>
      <w:r>
        <w:rPr>
          <w:szCs w:val="32"/>
        </w:rPr>
        <w:t>%</w:t>
      </w:r>
      <w:r>
        <w:rPr>
          <w:rFonts w:hint="eastAsia"/>
          <w:szCs w:val="32"/>
        </w:rPr>
        <w:t>、85.3</w:t>
      </w:r>
      <w:r>
        <w:rPr>
          <w:szCs w:val="32"/>
        </w:rPr>
        <w:t>%</w:t>
      </w:r>
      <w:r>
        <w:rPr>
          <w:rFonts w:hint="eastAsia"/>
          <w:szCs w:val="32"/>
        </w:rPr>
        <w:t>、116.7%。出口数字照相机61.4亿元，增长66.9</w:t>
      </w:r>
      <w:r>
        <w:rPr>
          <w:szCs w:val="32"/>
        </w:rPr>
        <w:t>%</w:t>
      </w:r>
      <w:r>
        <w:rPr>
          <w:rFonts w:hint="eastAsia"/>
          <w:szCs w:val="32"/>
        </w:rPr>
        <w:t>，其中对欧盟、香港地区出口13.7亿元、12.9亿元，分别增长97.3%、551.1%。</w:t>
      </w:r>
    </w:p>
    <w:p>
      <w:pPr>
        <w:spacing w:line="560" w:lineRule="exact"/>
        <w:ind w:firstLineChars="200" w:firstLine="632"/>
      </w:pPr>
    </w:p>
    <w:sectPr>
      <w:footerReference w:type="default" r:id="rId2"/>
      <w:pgSz w:w="11907" w:h="16840"/>
      <w:pgMar w:top="1440" w:right="1803" w:bottom="1440" w:left="1803" w:header="1814" w:footer="1474" w:gutter="0"/>
      <w:pgNumType w:start="0"/>
      <w:titlePg/>
      <w:docGrid w:type="linesAndChars" w:linePitch="580" w:charSpace="-84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7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1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28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7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18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9">
    <w:name w:val="样式 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0">
    <w:name w:val="样式 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1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2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3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4">
    <w:name w:val="样式 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5">
    <w:name w:val="样式 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6">
    <w:name w:val="样式 10 磅"/>
    <w:next w:val="15"/>
    <w:pPr>
      <w:widowControl w:val="0"/>
      <w:jc w:val="both"/>
    </w:pPr>
    <w:rPr>
      <w:rFonts w:ascii="Times New Roman" w:eastAsia="宋体" w:cs="Lucida Sans" w:hAnsi="Times New Roman"/>
      <w:kern w:val="2"/>
      <w:sz w:val="21"/>
      <w:lang w:val="en-US" w:eastAsia="zh-CN" w:bidi="ar-SA"/>
    </w:rPr>
  </w:style>
  <w:style w:type="paragraph" w:customStyle="1" w:styleId="27">
    <w:name w:val="样式 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8">
    <w:name w:val="样式 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9">
    <w:name w:val="样式 1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0">
    <w:name w:val="样式 1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1">
    <w:name w:val="样式 1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2">
    <w:name w:val="样式 1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3">
    <w:name w:val="样式 1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4">
    <w:name w:val="样式 1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5">
    <w:name w:val="样式 1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6">
    <w:name w:val="样式 1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7">
    <w:name w:val="样式 1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2 10 磅"/>
    <w:next w:val="24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0">
    <w:name w:val="样式 2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41">
    <w:name w:val="Balloon Text"/>
    <w:basedOn w:val="0"/>
    <w:rPr>
      <w:sz w:val="18"/>
      <w:szCs w:val="18"/>
    </w:rPr>
  </w:style>
  <w:style w:type="paragraph" w:customStyle="1" w:styleId="42">
    <w:name w:val="样式 1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">
    <w:name w:val="样式 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4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594</TotalTime>
  <Application>Yozo_Office</Application>
  <Pages>2</Pages>
  <Words>690</Words>
  <Characters>971</Characters>
  <Lines>77</Lines>
  <Paragraphs>53</Paragraphs>
  <CharactersWithSpaces>1002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郭墨亭</dc:creator>
  <cp:lastModifiedBy>郑思琪</cp:lastModifiedBy>
  <cp:revision>6</cp:revision>
  <dcterms:created xsi:type="dcterms:W3CDTF">2026-07-17T01:49:00Z</dcterms:created>
  <dcterms:modified xsi:type="dcterms:W3CDTF">2026-07-28T03:31:38Z</dcterms:modified>
</cp:coreProperties>
</file>