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上半年深圳市对RCEP成员国进出口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增长超三成</w:t>
      </w:r>
    </w:p>
    <w:p>
      <w:pPr>
        <w:spacing w:line="56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据海关统计，2026年上半年，深圳市对其他14个RCEP成员国进出口8157.3亿元人民币，同比（下同）增长35.3%。其中，出口2977.8亿元，增长8.4%；进口5179.5亿元，增长57.7%。主要特点如下：</w:t>
      </w:r>
    </w:p>
    <w:p>
      <w:pPr>
        <w:pStyle w:val="19"/>
        <w:autoSpaceDN w:val="0"/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一是</w:t>
      </w:r>
      <w:r>
        <w:rPr>
          <w:rFonts w:ascii="方正楷体_GBK" w:eastAsia="方正楷体_GBK"/>
          <w:b/>
          <w:bCs/>
          <w:sz w:val="32"/>
          <w:szCs w:val="32"/>
        </w:rPr>
        <w:t>一般</w:t>
      </w:r>
      <w:bookmarkStart w:id="0" w:name="_GoBack"/>
      <w:bookmarkEnd w:id="0"/>
      <w:r>
        <w:rPr>
          <w:rFonts w:ascii="方正楷体_GBK" w:eastAsia="方正楷体_GBK" w:hint="eastAsia"/>
          <w:b/>
          <w:bCs/>
          <w:sz w:val="32"/>
          <w:szCs w:val="32"/>
        </w:rPr>
        <w:t>贸易占比过半。</w:t>
      </w:r>
      <w:r>
        <w:rPr>
          <w:rFonts w:ascii="Times New Roman" w:eastAsia="方正仿宋_GBK" w:hAnsi="Times New Roman" w:hint="eastAsia"/>
          <w:sz w:val="32"/>
          <w:szCs w:val="32"/>
        </w:rPr>
        <w:t>上半年，深圳市以一般贸易方式对</w:t>
      </w:r>
      <w:r>
        <w:rPr>
          <w:rFonts w:ascii="Times New Roman" w:eastAsia="方正仿宋_GBK" w:hAnsi="Times New Roman"/>
          <w:sz w:val="32"/>
          <w:szCs w:val="32"/>
        </w:rPr>
        <w:t>RCEP</w:t>
      </w:r>
      <w:r>
        <w:rPr>
          <w:rFonts w:ascii="Times New Roman" w:eastAsia="方正仿宋_GBK" w:hAnsi="Times New Roman" w:hint="eastAsia"/>
          <w:sz w:val="32"/>
          <w:szCs w:val="32"/>
        </w:rPr>
        <w:t>成员国进出口4323.3亿元，增长29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，占同期深圳对</w:t>
      </w:r>
      <w:r>
        <w:rPr>
          <w:rFonts w:ascii="Times New Roman" w:eastAsia="方正仿宋_GBK" w:hAnsi="Times New Roman"/>
          <w:sz w:val="32"/>
          <w:szCs w:val="32"/>
        </w:rPr>
        <w:t>RCEP</w:t>
      </w:r>
      <w:r>
        <w:rPr>
          <w:rFonts w:ascii="Times New Roman" w:eastAsia="方正仿宋_GBK" w:hAnsi="Times New Roman" w:hint="eastAsia"/>
          <w:sz w:val="32"/>
          <w:szCs w:val="32"/>
        </w:rPr>
        <w:t>成员国进出口总值的（下同）</w:t>
      </w:r>
      <w:r>
        <w:rPr>
          <w:rFonts w:ascii="Times New Roman" w:eastAsia="方正仿宋_GBK" w:hAnsi="Times New Roman"/>
          <w:sz w:val="32"/>
          <w:szCs w:val="32"/>
        </w:rPr>
        <w:t>53%</w:t>
      </w:r>
      <w:r>
        <w:rPr>
          <w:rFonts w:ascii="Times New Roman" w:eastAsia="方正仿宋_GBK" w:hAnsi="Times New Roman" w:hint="eastAsia"/>
          <w:sz w:val="32"/>
          <w:szCs w:val="32"/>
        </w:rPr>
        <w:t>。同期，以保税物流方式进出口2781.9亿元，增长65.5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，占34.1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；以加工贸易方式进出口1017.6亿元，增长5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19"/>
        <w:autoSpaceDN w:val="0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二是民营企业进出口占比</w:t>
      </w:r>
      <w:r>
        <w:rPr>
          <w:rFonts w:ascii="Times New Roman" w:eastAsia="方正楷体_GBK" w:hAnsi="Times New Roman"/>
          <w:b/>
          <w:bCs/>
          <w:sz w:val="32"/>
          <w:szCs w:val="32"/>
        </w:rPr>
        <w:t>超7</w:t>
      </w:r>
      <w:r>
        <w:rPr>
          <w:rFonts w:ascii="方正楷体_GBK" w:eastAsia="方正楷体_GBK" w:hint="eastAsia"/>
          <w:b/>
          <w:bCs/>
          <w:sz w:val="32"/>
          <w:szCs w:val="32"/>
        </w:rPr>
        <w:t>成，外商投资企业保持增长。</w:t>
      </w:r>
      <w:r>
        <w:rPr>
          <w:rFonts w:ascii="Times New Roman" w:eastAsia="方正仿宋_GBK" w:hAnsi="Times New Roman" w:hint="eastAsia"/>
          <w:sz w:val="32"/>
          <w:szCs w:val="32"/>
        </w:rPr>
        <w:t>上半年，深圳市民营企业对</w:t>
      </w:r>
      <w:r>
        <w:rPr>
          <w:rFonts w:ascii="Times New Roman" w:eastAsia="方正仿宋_GBK" w:hAnsi="Times New Roman"/>
          <w:sz w:val="32"/>
          <w:szCs w:val="32"/>
        </w:rPr>
        <w:t>RCEP</w:t>
      </w:r>
      <w:r>
        <w:rPr>
          <w:rFonts w:ascii="Times New Roman" w:eastAsia="方正仿宋_GBK" w:hAnsi="Times New Roman" w:hint="eastAsia"/>
          <w:sz w:val="32"/>
          <w:szCs w:val="32"/>
        </w:rPr>
        <w:t>成员国进出口6179.4亿元，增长46.4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，占75.8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。同期，外商投资企业进出口1869.6亿元，增长21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2.9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；国有企业进出口95.4亿元，下降62.8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20"/>
        <w:widowControl/>
        <w:autoSpaceDN w:val="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上半年深圳市对</w:t>
      </w:r>
      <w:r>
        <w:rPr>
          <w:b/>
          <w:sz w:val="28"/>
          <w:szCs w:val="28"/>
        </w:rPr>
        <w:t>RCEP</w:t>
      </w:r>
      <w:r>
        <w:rPr>
          <w:rFonts w:hint="eastAsia"/>
          <w:b/>
          <w:sz w:val="28"/>
          <w:szCs w:val="28"/>
        </w:rPr>
        <w:t>成员国进出口企业性质情况表</w:t>
      </w:r>
    </w:p>
    <w:p>
      <w:pPr>
        <w:pStyle w:val="20"/>
        <w:autoSpaceDN w:val="0"/>
        <w:spacing w:line="400" w:lineRule="exact"/>
        <w:jc w:val="right"/>
        <w:rPr>
          <w:rFonts w:eastAsia="方正黑体_GBK"/>
          <w:sz w:val="32"/>
          <w:szCs w:val="32"/>
        </w:rPr>
      </w:pPr>
      <w:r>
        <w:rPr>
          <w:rFonts w:eastAsia="方正仿宋_GBK" w:hint="eastAsia"/>
          <w:bCs/>
          <w:sz w:val="24"/>
        </w:rPr>
        <w:t>单位：亿元人民币，</w:t>
      </w:r>
      <w:r>
        <w:rPr>
          <w:rFonts w:eastAsia="方正仿宋_GBK"/>
          <w:bCs/>
          <w:sz w:val="24"/>
        </w:rPr>
        <w:t>%</w:t>
      </w:r>
      <w:r>
        <w:rPr>
          <w:rFonts w:eastAsia="方正仿宋_GBK" w:hint="eastAsia"/>
          <w:bCs/>
          <w:sz w:val="24"/>
        </w:rPr>
        <w:t>，</w:t>
      </w:r>
      <w:r>
        <w:rPr>
          <w:rFonts w:eastAsia="方正仿宋_GBK"/>
          <w:bCs/>
          <w:sz w:val="24"/>
        </w:rPr>
        <w:t>%</w:t>
      </w:r>
    </w:p>
    <w:tbl>
      <w:tblPr>
        <w:jc w:val="center"/>
        <w:tblW w:w="3254" w:type="pct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566"/>
        <w:gridCol w:w="971"/>
        <w:gridCol w:w="1272"/>
      </w:tblGrid>
      <w:tr>
        <w:trPr>
          <w:trHeight w:val="315"/>
        </w:trPr>
        <w:tc>
          <w:tcPr>
            <w:tcW w:w="1566" w:type="pct"/>
            <w:vMerge w:val="restart"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shd w:val="clear" w:color="auto" w:fill="4BACC6"/>
            <w:vAlign w:val="center"/>
          </w:tcPr>
          <w:p>
            <w:pPr>
              <w:pStyle w:val="20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3434" w:type="pct"/>
            <w:gridSpan w:val="3"/>
            <w:tcBorders>
              <w:top w:val="single" w:sz="8" w:space="0" w:color="CCE8CF"/>
              <w:left w:val="single" w:sz="8" w:space="0" w:color="CCE8CF"/>
              <w:bottom w:val="single" w:sz="24" w:space="0" w:color="CCE8CF"/>
              <w:right w:val="single" w:sz="8" w:space="0" w:color="CCE8CF"/>
            </w:tcBorders>
            <w:shd w:val="clear" w:color="auto" w:fill="4BACC6"/>
          </w:tcPr>
          <w:p>
            <w:pPr>
              <w:pStyle w:val="20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6年上半年</w:t>
            </w:r>
          </w:p>
        </w:tc>
      </w:tr>
      <w:tr>
        <w:trPr>
          <w:trHeight w:val="315"/>
        </w:trPr>
        <w:tc>
          <w:tcPr>
            <w:tcW w:w="4342" w:type="pct"/>
            <w:vMerge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vAlign w:val="center"/>
          </w:tcPr>
          <w:p/>
        </w:tc>
        <w:tc>
          <w:tcPr>
            <w:tcW w:w="1412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20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进出口值</w:t>
            </w:r>
          </w:p>
        </w:tc>
        <w:tc>
          <w:tcPr>
            <w:tcW w:w="875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20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同比</w:t>
            </w:r>
          </w:p>
        </w:tc>
        <w:tc>
          <w:tcPr>
            <w:tcW w:w="1147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20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占比</w:t>
            </w:r>
          </w:p>
        </w:tc>
      </w:tr>
      <w:tr>
        <w:trPr>
          <w:trHeight w:hRule="exact" w:val="340"/>
        </w:trPr>
        <w:tc>
          <w:tcPr>
            <w:tcW w:w="1566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pStyle w:val="20"/>
              <w:autoSpaceDN w:val="0"/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int="eastAsia"/>
                <w:color w:val="000000"/>
                <w:sz w:val="20"/>
                <w:szCs w:val="20"/>
              </w:rPr>
              <w:t>民营企业</w:t>
            </w:r>
          </w:p>
        </w:tc>
        <w:tc>
          <w:tcPr>
            <w:tcW w:w="1412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6179.4 </w:t>
            </w:r>
          </w:p>
        </w:tc>
        <w:tc>
          <w:tcPr>
            <w:tcW w:w="875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46.4 </w:t>
            </w:r>
          </w:p>
        </w:tc>
        <w:tc>
          <w:tcPr>
            <w:tcW w:w="1147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75.8 </w:t>
            </w:r>
          </w:p>
        </w:tc>
      </w:tr>
      <w:tr>
        <w:trPr>
          <w:trHeight w:hRule="exact" w:val="340"/>
        </w:trPr>
        <w:tc>
          <w:tcPr>
            <w:tcW w:w="1566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pStyle w:val="20"/>
              <w:autoSpaceDN w:val="0"/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int="eastAsia"/>
                <w:color w:val="000000"/>
                <w:sz w:val="20"/>
                <w:szCs w:val="20"/>
              </w:rPr>
              <w:t>外商投资企业</w:t>
            </w:r>
          </w:p>
        </w:tc>
        <w:tc>
          <w:tcPr>
            <w:tcW w:w="1412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1869.6 </w:t>
            </w:r>
          </w:p>
        </w:tc>
        <w:tc>
          <w:tcPr>
            <w:tcW w:w="875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21.0 </w:t>
            </w:r>
          </w:p>
        </w:tc>
        <w:tc>
          <w:tcPr>
            <w:tcW w:w="1147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22.9 </w:t>
            </w:r>
          </w:p>
        </w:tc>
      </w:tr>
      <w:tr>
        <w:trPr>
          <w:trHeight w:hRule="exact" w:val="361"/>
        </w:trPr>
        <w:tc>
          <w:tcPr>
            <w:tcW w:w="1566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pStyle w:val="20"/>
              <w:autoSpaceDN w:val="0"/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int="eastAsia"/>
                <w:color w:val="000000"/>
                <w:sz w:val="20"/>
                <w:szCs w:val="20"/>
              </w:rPr>
              <w:t>国有企业</w:t>
            </w:r>
          </w:p>
        </w:tc>
        <w:tc>
          <w:tcPr>
            <w:tcW w:w="1412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95.4 </w:t>
            </w:r>
          </w:p>
        </w:tc>
        <w:tc>
          <w:tcPr>
            <w:tcW w:w="875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-62.8 </w:t>
            </w:r>
          </w:p>
        </w:tc>
        <w:tc>
          <w:tcPr>
            <w:tcW w:w="1147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pStyle w:val="20"/>
              <w:autoSpaceDN w:val="0"/>
              <w:jc w:val="center"/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cs="Times New Roman" w:hAnsi="Times New Roman"/>
                <w:color w:val="000000"/>
                <w:sz w:val="20"/>
                <w:szCs w:val="20"/>
              </w:rPr>
              <w:t xml:space="preserve">1.2 </w:t>
            </w:r>
          </w:p>
        </w:tc>
      </w:tr>
    </w:tbl>
    <w:p>
      <w:pPr>
        <w:pStyle w:val="19"/>
        <w:autoSpaceDN w:val="0"/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三是东盟占比超</w:t>
      </w:r>
      <w:r>
        <w:rPr>
          <w:rFonts w:ascii="Times New Roman" w:eastAsia="方正楷体_GBK" w:hAnsi="Times New Roman"/>
          <w:b/>
          <w:bCs/>
          <w:sz w:val="32"/>
          <w:szCs w:val="32"/>
        </w:rPr>
        <w:t>5</w:t>
      </w:r>
      <w:r>
        <w:rPr>
          <w:rFonts w:ascii="方正楷体_GBK" w:eastAsia="方正楷体_GBK" w:hint="eastAsia"/>
          <w:b/>
          <w:bCs/>
          <w:sz w:val="32"/>
          <w:szCs w:val="32"/>
        </w:rPr>
        <w:t>成，对日本、韩国、澳大利亚进出口</w:t>
      </w:r>
      <w:r>
        <w:rPr>
          <w:rFonts w:ascii="方正楷体_GBK" w:eastAsia="方正楷体_GBK"/>
          <w:b/>
          <w:bCs/>
          <w:sz w:val="32"/>
          <w:szCs w:val="32"/>
        </w:rPr>
        <w:t>增势明显</w:t>
      </w:r>
      <w:r>
        <w:rPr>
          <w:rFonts w:ascii="方正楷体_GBK" w:eastAsia="方正楷体_GBK" w:hint="eastAsia"/>
          <w:b/>
          <w:bCs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z w:val="32"/>
          <w:szCs w:val="32"/>
        </w:rPr>
        <w:t>上半年，深圳市对东盟进出口4262.6亿元，增长19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，占52.3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。其中，对越南、泰国、新加坡分别进出口1459.9亿元、716.5亿元、630.6亿元，分别增长36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、25.9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、45.2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。同期，对日本、韩国、澳大利亚、新西兰分别进出口1730.6亿元、1647.6亿元、477.6亿元、38.9亿元，分别增长85.8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、35.9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、77.9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、3.5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19"/>
        <w:autoSpaceDN w:val="0"/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四是出口方面，机电产品占比超7成，劳密产品降幅明显。</w:t>
      </w:r>
      <w:r>
        <w:rPr>
          <w:rFonts w:ascii="Times New Roman" w:eastAsia="方正仿宋_GBK" w:hAnsi="Times New Roman" w:hint="eastAsia"/>
          <w:sz w:val="32"/>
          <w:szCs w:val="32"/>
        </w:rPr>
        <w:t>上半年，深圳市对</w:t>
      </w:r>
      <w:r>
        <w:rPr>
          <w:rFonts w:ascii="Times New Roman" w:eastAsia="方正仿宋_GBK" w:hAnsi="Times New Roman"/>
          <w:sz w:val="32"/>
          <w:szCs w:val="32"/>
        </w:rPr>
        <w:t>RCEP</w:t>
      </w:r>
      <w:r>
        <w:rPr>
          <w:rFonts w:ascii="Times New Roman" w:eastAsia="方正仿宋_GBK" w:hAnsi="Times New Roman" w:hint="eastAsia"/>
          <w:sz w:val="32"/>
          <w:szCs w:val="32"/>
        </w:rPr>
        <w:t>成员国出口机电产品2236.9亿元，增长16.6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</w:t>
      </w:r>
      <w:r>
        <w:rPr>
          <w:rFonts w:ascii="Times New Roman" w:eastAsia="方正仿宋_GBK" w:hAnsi="Times New Roman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5.1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。其中，分别出口电脑及其零部件、锂电池、手机287.3亿元、97.8亿元、</w:t>
      </w:r>
      <w:r>
        <w:rPr>
          <w:rFonts w:ascii="Times New Roman" w:eastAsia="方正仿宋_GBK" w:hAnsi="Times New Roman"/>
          <w:sz w:val="32"/>
          <w:szCs w:val="32"/>
        </w:rPr>
        <w:t>52.7</w:t>
      </w:r>
      <w:r>
        <w:rPr>
          <w:rFonts w:ascii="Times New Roman" w:eastAsia="方正仿宋_GBK" w:hAnsi="Times New Roman" w:hint="eastAsia"/>
          <w:sz w:val="32"/>
          <w:szCs w:val="32"/>
        </w:rPr>
        <w:t>亿元，分别增长35.5%、32.6%、38.3%。同期，出口劳动密集型产品349.8亿元，下降18.3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，占11.7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；出口农产品48.4亿元，增长5.1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</w:pPr>
      <w:r>
        <w:rPr>
          <w:rFonts w:ascii="方正楷体_GBK" w:eastAsia="方正楷体_GBK" w:hint="eastAsia"/>
          <w:b/>
          <w:bCs/>
          <w:sz w:val="32"/>
          <w:szCs w:val="32"/>
        </w:rPr>
        <w:t>五是进口方面，集成电路等电子中间品快速增长，农产品小幅下降。</w:t>
      </w:r>
      <w:r>
        <w:rPr>
          <w:rFonts w:ascii="Times New Roman" w:eastAsia="方正仿宋_GBK" w:hAnsi="Times New Roman" w:hint="eastAsia"/>
          <w:sz w:val="32"/>
          <w:szCs w:val="32"/>
        </w:rPr>
        <w:t>上半年，深圳市自</w:t>
      </w:r>
      <w:r>
        <w:rPr>
          <w:rFonts w:ascii="Times New Roman" w:eastAsia="方正仿宋_GBK" w:hAnsi="Times New Roman"/>
          <w:sz w:val="32"/>
          <w:szCs w:val="32"/>
        </w:rPr>
        <w:t>RCEP</w:t>
      </w:r>
      <w:r>
        <w:rPr>
          <w:rFonts w:ascii="Times New Roman" w:eastAsia="方正仿宋_GBK" w:hAnsi="Times New Roman" w:hint="eastAsia"/>
          <w:sz w:val="32"/>
          <w:szCs w:val="32"/>
        </w:rPr>
        <w:t>成员国进口机电产品4317.7亿元，增长56.2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，占同期深圳市自</w:t>
      </w:r>
      <w:r>
        <w:rPr>
          <w:rFonts w:ascii="Times New Roman" w:eastAsia="方正仿宋_GBK" w:hAnsi="Times New Roman"/>
          <w:sz w:val="32"/>
          <w:szCs w:val="32"/>
        </w:rPr>
        <w:t>RCEP</w:t>
      </w:r>
      <w:r>
        <w:rPr>
          <w:rFonts w:ascii="Times New Roman" w:eastAsia="方正仿宋_GBK" w:hAnsi="Times New Roman" w:hint="eastAsia"/>
          <w:sz w:val="32"/>
          <w:szCs w:val="32"/>
        </w:rPr>
        <w:t>成员国进口值的（下同）</w:t>
      </w:r>
      <w:r>
        <w:rPr>
          <w:rFonts w:ascii="Times New Roman" w:eastAsia="方正仿宋_GBK" w:hAnsi="Times New Roman"/>
          <w:sz w:val="32"/>
          <w:szCs w:val="32"/>
        </w:rPr>
        <w:t>8</w:t>
      </w:r>
      <w:r>
        <w:rPr>
          <w:rFonts w:ascii="Times New Roman" w:eastAsia="方正仿宋_GBK" w:hAnsi="Times New Roman" w:hint="eastAsia"/>
          <w:sz w:val="32"/>
          <w:szCs w:val="32"/>
        </w:rPr>
        <w:t>3.4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。其中，分别进口集成电路、电脑零部件2065.9亿元、1394.9亿元，分别增长46.5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、149.9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。同期，进口农产品167亿元，下降4</w:t>
      </w:r>
      <w:r>
        <w:rPr>
          <w:rFonts w:ascii="Times New Roman" w:eastAsia="方正仿宋_GBK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bookmarkStart w:id="1" w:name="dbds__落款__text"/>
      <w:bookmarkStart w:id="2" w:name="dbds__抄送__text"/>
      <w:bookmarkEnd w:id="1"/>
      <w:bookmarkEnd w:id="2"/>
    </w:p>
    <w:p>
      <w:pPr>
        <w:pStyle w:val="19"/>
        <w:autoSpaceDN w:val="0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  <w:style w:type="paragraph" w:customStyle="1" w:styleId="19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388</TotalTime>
  <Application>Yozo_Office</Application>
  <Pages>2</Pages>
  <Words>769</Words>
  <Characters>1073</Characters>
  <Lines>56</Lines>
  <Paragraphs>27</Paragraphs>
  <CharactersWithSpaces>1082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张纡青</dc:creator>
  <cp:lastModifiedBy>林静怡</cp:lastModifiedBy>
  <cp:revision>17</cp:revision>
  <dcterms:created xsi:type="dcterms:W3CDTF">2026-07-20T07:27:00Z</dcterms:created>
  <dcterms:modified xsi:type="dcterms:W3CDTF">2026-07-30T02:14:31Z</dcterms:modified>
</cp:coreProperties>
</file>