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45"/>
        <w:spacing w:line="58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</w:rPr>
        <w:t>深圳宝安机场海关2024年政府信息公开工作 年度报告</w:t>
      </w:r>
      <w:bookmarkEnd w:id="0"/>
    </w:p>
    <w:p>
      <w:pPr>
        <w:pStyle w:val="31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楷体_GB2312" w:eastAsia="楷体_GB2312" w:cs="楷体_GB2312"/>
          <w:bCs/>
          <w:sz w:val="32"/>
          <w:szCs w:val="32"/>
          <w:shd w:val="clear" w:color="auto" w:fill="FFFFFF"/>
        </w:rPr>
      </w:pPr>
    </w:p>
    <w:p>
      <w:pPr>
        <w:pStyle w:val="31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>
      <w:pPr>
        <w:spacing w:line="56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2024年，深圳宝安机场海关以习近平新时代中国特色社会主义思想为指导，严格按照《中华人民共和国政府信息公开条例》</w:t>
      </w:r>
      <w:r>
        <w:rPr>
          <w:szCs w:val="32"/>
        </w:rPr>
        <w:t>规定</w:t>
      </w:r>
      <w:r>
        <w:rPr>
          <w:rFonts w:hint="eastAsia"/>
          <w:szCs w:val="32"/>
        </w:rPr>
        <w:t>开展海关政府信息公开工作。现将相关情况报告如下：</w:t>
      </w:r>
    </w:p>
    <w:p>
      <w:pPr>
        <w:spacing w:line="560" w:lineRule="exact"/>
        <w:ind w:firstLineChars="200" w:firstLine="640"/>
        <w:rPr>
          <w:rFonts w:eastAsia="方正楷体_GBK"/>
          <w:b/>
          <w:szCs w:val="32"/>
        </w:rPr>
      </w:pPr>
      <w:r>
        <w:rPr>
          <w:rFonts w:eastAsia="方正楷体_GBK" w:hint="eastAsia"/>
          <w:b/>
          <w:szCs w:val="32"/>
        </w:rPr>
        <w:t>（一）做好</w:t>
      </w:r>
      <w:r>
        <w:rPr>
          <w:rFonts w:eastAsia="方正楷体_GBK"/>
          <w:b/>
          <w:szCs w:val="32"/>
        </w:rPr>
        <w:t>主动</w:t>
      </w:r>
      <w:r>
        <w:rPr>
          <w:rFonts w:eastAsia="方正楷体_GBK" w:hint="eastAsia"/>
          <w:b/>
          <w:szCs w:val="32"/>
        </w:rPr>
        <w:t>公开。</w:t>
      </w:r>
    </w:p>
    <w:p>
      <w:pPr>
        <w:spacing w:line="56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2024年，</w:t>
      </w:r>
      <w:r>
        <w:rPr>
          <w:szCs w:val="32"/>
        </w:rPr>
        <w:t>我关</w:t>
      </w:r>
      <w:r>
        <w:rPr>
          <w:rFonts w:cs="Arial" w:hint="eastAsia"/>
          <w:szCs w:val="32"/>
        </w:rPr>
        <w:t>及时做好深圳海关门户网站“双公示”“双随机、一公开”“预决算信息”等栏目的更新维护，</w:t>
      </w:r>
      <w:r>
        <w:rPr>
          <w:rFonts w:hint="eastAsia"/>
          <w:szCs w:val="32"/>
        </w:rPr>
        <w:t>发布“双公示”行政处罚结果信息36宗，行政许可信息45条</w:t>
      </w:r>
      <w:r>
        <w:rPr>
          <w:szCs w:val="32"/>
        </w:rPr>
        <w:t>；</w:t>
      </w:r>
      <w:r>
        <w:rPr>
          <w:rFonts w:hint="eastAsia"/>
          <w:szCs w:val="32"/>
        </w:rPr>
        <w:t>“双随机、一公开”信息78条；公开2023年决算、2024年预算等财政信息。年内收到政府信息公开申请3宗，</w:t>
      </w:r>
      <w:r>
        <w:rPr>
          <w:szCs w:val="32"/>
        </w:rPr>
        <w:t>按时妥善</w:t>
      </w:r>
      <w:r>
        <w:rPr>
          <w:rFonts w:hint="eastAsia"/>
          <w:szCs w:val="32"/>
        </w:rPr>
        <w:t>办理政府信息公开申请1宗，结转下年度继续办理1宗，申请人撤回1宗。</w:t>
      </w:r>
    </w:p>
    <w:p>
      <w:pPr>
        <w:spacing w:line="560" w:lineRule="exact"/>
        <w:ind w:firstLineChars="200" w:firstLine="640"/>
        <w:rPr>
          <w:rFonts w:eastAsia="方正楷体_GBK"/>
          <w:b/>
          <w:szCs w:val="32"/>
        </w:rPr>
      </w:pPr>
      <w:r>
        <w:rPr>
          <w:rFonts w:eastAsia="方正楷体_GBK" w:hint="eastAsia"/>
          <w:b/>
          <w:szCs w:val="32"/>
        </w:rPr>
        <w:t>（二）</w:t>
      </w:r>
      <w:r>
        <w:rPr>
          <w:rFonts w:eastAsia="方正楷体_GBK"/>
          <w:b/>
          <w:szCs w:val="32"/>
        </w:rPr>
        <w:t>抓好日常管理</w:t>
      </w:r>
      <w:r>
        <w:rPr>
          <w:rFonts w:eastAsia="方正楷体_GBK" w:hint="eastAsia"/>
          <w:b/>
          <w:szCs w:val="32"/>
        </w:rPr>
        <w:t>。</w:t>
      </w:r>
    </w:p>
    <w:p>
      <w:pPr>
        <w:spacing w:line="56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依法确定政府信息公开分管领导，并及时向上级主管部门深圳海关办公室进行备案。积极</w:t>
      </w:r>
      <w:r>
        <w:rPr>
          <w:szCs w:val="32"/>
        </w:rPr>
        <w:t>推进</w:t>
      </w:r>
      <w:r>
        <w:rPr>
          <w:rFonts w:hint="eastAsia"/>
          <w:szCs w:val="32"/>
        </w:rPr>
        <w:t>基层政务公开“标准化、规范化”工作，依托综合条线科室联系机制，</w:t>
      </w:r>
      <w:r>
        <w:rPr>
          <w:szCs w:val="32"/>
        </w:rPr>
        <w:t>做好相关信息日常管理发布工作</w:t>
      </w:r>
      <w:r>
        <w:rPr>
          <w:rFonts w:hint="eastAsia"/>
          <w:szCs w:val="32"/>
        </w:rPr>
        <w:t>。规范</w:t>
      </w:r>
      <w:r>
        <w:rPr>
          <w:szCs w:val="32"/>
        </w:rPr>
        <w:t>信息公开申请办理</w:t>
      </w:r>
      <w:r>
        <w:rPr>
          <w:rFonts w:hint="eastAsia"/>
          <w:szCs w:val="32"/>
        </w:rPr>
        <w:t>操作流程，及时传达培训成果，针对部分涉及领域广的事项，通过集体研讨、共同决定，实现政府信息公开内容真实准确。</w:t>
      </w:r>
      <w:r>
        <w:rPr>
          <w:bCs/>
          <w:szCs w:val="32"/>
        </w:rPr>
        <w:t>严格信息发布保密审查流程，做到</w:t>
      </w:r>
      <w:r>
        <w:rPr>
          <w:rFonts w:ascii="方正仿宋_GBK" w:hint="eastAsia"/>
          <w:bCs/>
          <w:szCs w:val="32"/>
        </w:rPr>
        <w:t>“凡公开必审查”，</w:t>
      </w:r>
      <w:r>
        <w:rPr>
          <w:bCs/>
          <w:szCs w:val="32"/>
        </w:rPr>
        <w:t>确保内容准确、表述规范。</w:t>
      </w:r>
    </w:p>
    <w:p>
      <w:pPr>
        <w:spacing w:line="560" w:lineRule="exact"/>
        <w:ind w:firstLineChars="200" w:firstLine="640"/>
        <w:rPr>
          <w:rFonts w:eastAsia="方正楷体_GBK"/>
          <w:b/>
          <w:szCs w:val="32"/>
        </w:rPr>
      </w:pPr>
      <w:r>
        <w:rPr>
          <w:rFonts w:eastAsia="方正楷体_GBK" w:hint="eastAsia"/>
          <w:b/>
          <w:szCs w:val="32"/>
        </w:rPr>
        <w:t>（三）</w:t>
      </w:r>
      <w:r>
        <w:rPr>
          <w:rFonts w:eastAsia="方正楷体_GBK"/>
          <w:b/>
          <w:szCs w:val="32"/>
        </w:rPr>
        <w:t>增进</w:t>
      </w:r>
      <w:r>
        <w:rPr>
          <w:rFonts w:eastAsia="方正楷体_GBK" w:hint="eastAsia"/>
          <w:b/>
          <w:szCs w:val="32"/>
        </w:rPr>
        <w:t>互动交流。</w:t>
      </w:r>
    </w:p>
    <w:p>
      <w:pPr>
        <w:spacing w:line="560" w:lineRule="exact"/>
        <w:ind w:firstLineChars="200" w:firstLine="640"/>
      </w:pPr>
      <w:r>
        <w:rPr>
          <w:rFonts w:hint="eastAsia"/>
          <w:szCs w:val="32"/>
        </w:rPr>
        <w:t>一是积极配合12360热线回应公众咨询，严格遵循办理时限，全年共办结工单70份，准确实现咨询投诉事项的分办、流转、反馈。二是优化业务咨询。在业务大厅张贴对外公开投诉咨询电话海报，明确受理方式、受理时间和受理范围，设立现场咨询岗及时解答相关问题，做到“一看二答三解决”及时受理企业和个人的业务咨询和投诉</w:t>
      </w:r>
      <w:r>
        <w:rPr>
          <w:szCs w:val="32"/>
        </w:rPr>
        <w:t>，</w:t>
      </w:r>
      <w:r>
        <w:rPr>
          <w:kern w:val="0"/>
          <w:szCs w:val="32"/>
        </w:rPr>
        <w:t>年内</w:t>
      </w:r>
      <w:r>
        <w:rPr>
          <w:rFonts w:hint="eastAsia"/>
          <w:szCs w:val="32"/>
        </w:rPr>
        <w:t>接听解答</w:t>
      </w:r>
      <w:r>
        <w:rPr>
          <w:szCs w:val="32"/>
        </w:rPr>
        <w:t>群众</w:t>
      </w:r>
      <w:r>
        <w:rPr>
          <w:rFonts w:hint="eastAsia"/>
          <w:szCs w:val="32"/>
        </w:rPr>
        <w:t>问题2199次</w:t>
      </w:r>
      <w:r>
        <w:rPr>
          <w:szCs w:val="32"/>
        </w:rPr>
        <w:t>。</w:t>
      </w:r>
      <w:r>
        <w:rPr>
          <w:rFonts w:hint="eastAsia"/>
          <w:szCs w:val="32"/>
        </w:rPr>
        <w:t>三是强化政策宣讲。围绕“空港智慧物流改革”项目、特色商品通关堵点等重要工作召开关企政策宣讲会30次，累计超200位企业代表参加，在为企纾困解难方面取得良好成效。</w:t>
      </w:r>
    </w:p>
    <w:p>
      <w:pPr>
        <w:pStyle w:val="39"/>
        <w:adjustRightInd w:val="0"/>
        <w:snapToGrid w:val="0"/>
        <w:spacing w:beforeLines="50" w:before="218" w:afterLines="50" w:after="218"/>
        <w:ind w:firstLineChars="200" w:firstLine="624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9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199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1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661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0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205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>
      <w:pPr>
        <w:pStyle w:val="16"/>
        <w:tabs>
          <w:tab w:val="center" w:pos="4153"/>
          <w:tab w:val="right" w:pos="8306"/>
        </w:tabs>
      </w:pPr>
    </w:p>
    <w:p>
      <w:pPr>
        <w:pStyle w:val="31"/>
        <w:widowControl/>
        <w:shd w:val="clear" w:color="auto" w:fill="FFFFFF"/>
        <w:adjustRightInd w:val="0"/>
        <w:snapToGrid w:val="0"/>
        <w:spacing w:beforeAutospacing="0" w:afterLines="50" w:after="218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4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3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4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663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222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4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34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34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34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</w:tr>
      <w:tr>
        <w:trPr>
          <w:trHeight w:val="280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</w:tbl>
    <w:p>
      <w:pPr>
        <w:pStyle w:val="16"/>
        <w:tabs>
          <w:tab w:val="center" w:pos="4153"/>
          <w:tab w:val="right" w:pos="8306"/>
        </w:tabs>
      </w:pPr>
    </w:p>
    <w:p>
      <w:pPr>
        <w:pStyle w:val="31"/>
        <w:widowControl/>
        <w:shd w:val="clear" w:color="auto" w:fill="FFFFFF"/>
        <w:spacing w:beforeLines="50" w:before="218" w:beforeAutospacing="0" w:after="120" w:afterAutospacing="0"/>
        <w:ind w:firstLineChars="200" w:firstLine="640"/>
        <w:jc w:val="both"/>
        <w:rPr>
          <w:rFonts w:ascii="宋体" w:cs="宋体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pStyle w:val="31"/>
        <w:widowControl/>
        <w:shd w:val="clear" w:color="auto" w:fill="FFFFFF"/>
        <w:spacing w:beforeLines="50" w:before="218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>
      <w:pPr>
        <w:pStyle w:val="47"/>
        <w:adjustRightInd w:val="0"/>
        <w:snapToGrid w:val="0"/>
        <w:ind w:firstLineChars="200" w:firstLine="624"/>
        <w:rPr>
          <w:rFonts w:ascii="方正楷体_GBK" w:eastAsia="方正楷体_GBK"/>
          <w:b/>
          <w:bCs/>
        </w:rPr>
      </w:pPr>
      <w:r>
        <w:rPr>
          <w:rFonts w:ascii="方正楷体_GBK" w:eastAsia="方正楷体_GBK" w:hint="eastAsia"/>
          <w:b/>
          <w:bCs/>
        </w:rPr>
        <w:t>（一）</w:t>
      </w:r>
      <w:r>
        <w:rPr>
          <w:rFonts w:eastAsia="方正楷体_GBK"/>
          <w:b/>
          <w:bCs/>
        </w:rPr>
        <w:t>202</w:t>
      </w:r>
      <w:r>
        <w:rPr>
          <w:rFonts w:eastAsia="方正楷体_GBK" w:hint="eastAsia"/>
          <w:b/>
          <w:bCs/>
        </w:rPr>
        <w:t>3</w:t>
      </w:r>
      <w:r>
        <w:rPr>
          <w:rFonts w:eastAsia="方正楷体_GBK"/>
          <w:b/>
          <w:bCs/>
        </w:rPr>
        <w:t>年年</w:t>
      </w:r>
      <w:r>
        <w:rPr>
          <w:rFonts w:ascii="方正楷体_GBK" w:eastAsia="方正楷体_GBK" w:hint="eastAsia"/>
          <w:b/>
          <w:bCs/>
        </w:rPr>
        <w:t>报中所提问题整改情况。</w:t>
      </w:r>
    </w:p>
    <w:p>
      <w:pPr>
        <w:pStyle w:val="47"/>
        <w:adjustRightInd w:val="0"/>
        <w:snapToGrid w:val="0"/>
        <w:ind w:leftChars="48" w:left="154"/>
      </w:pPr>
      <w:r>
        <w:rPr>
          <w:rFonts w:hint="eastAsia"/>
          <w:szCs w:val="32"/>
        </w:rPr>
        <w:t xml:space="preserve">    针对2023年我关</w:t>
      </w:r>
      <w:r>
        <w:rPr>
          <w:rFonts w:hint="eastAsia"/>
        </w:rPr>
        <w:t>对</w:t>
      </w:r>
      <w:r>
        <w:t>海关业务现场</w:t>
      </w:r>
      <w:r>
        <w:rPr>
          <w:rFonts w:hint="eastAsia"/>
        </w:rPr>
        <w:t>政务公开栏内容、人员信息更新不及时</w:t>
      </w:r>
      <w:r>
        <w:rPr>
          <w:rFonts w:hint="eastAsia"/>
          <w:szCs w:val="32"/>
        </w:rPr>
        <w:t>的问题，我关严格对标基层政务公开“标准化、规范化”要求，结合保密检查，定期核对现场公开栏内容，逢政策更新、人员调动，第一时间提醒相关科室更新对应信息，2024未发现更新不及时的情况。</w:t>
      </w:r>
    </w:p>
    <w:p>
      <w:pPr>
        <w:pStyle w:val="40"/>
        <w:adjustRightInd w:val="0"/>
        <w:snapToGrid w:val="0"/>
        <w:ind w:firstLineChars="200" w:firstLine="624"/>
        <w:rPr>
          <w:rFonts w:ascii="方正楷体_GBK" w:eastAsia="方正楷体_GBK"/>
          <w:b/>
          <w:bCs/>
        </w:rPr>
      </w:pPr>
      <w:r>
        <w:rPr>
          <w:rFonts w:ascii="方正楷体_GBK" w:eastAsia="方正楷体_GBK" w:hint="eastAsia"/>
          <w:b/>
          <w:bCs/>
        </w:rPr>
        <w:t>（二）目前存在问题。</w:t>
      </w:r>
    </w:p>
    <w:p>
      <w:pPr>
        <w:pStyle w:val="40"/>
        <w:adjustRightInd w:val="0"/>
        <w:snapToGrid w:val="0"/>
        <w:ind w:firstLineChars="200" w:firstLine="624"/>
      </w:pPr>
      <w:r>
        <w:rPr>
          <w:rFonts w:hint="eastAsia"/>
        </w:rPr>
        <w:t>自查发现部分公示单未在审批通过后第一时间挂网，存在超期挂网风险。</w:t>
      </w:r>
    </w:p>
    <w:p>
      <w:pPr>
        <w:pStyle w:val="31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  <w:bookmarkEnd w:id="1"/>
    </w:p>
    <w:p>
      <w:pPr>
        <w:pStyle w:val="46"/>
        <w:adjustRightInd w:val="0"/>
        <w:snapToGrid w:val="0"/>
        <w:ind w:firstLineChars="200" w:firstLine="624"/>
      </w:pPr>
      <w:r>
        <w:rPr>
          <w:rFonts w:hint="eastAsia"/>
          <w:szCs w:val="0"/>
        </w:rPr>
        <w:t>本年度未收取政府信息公开</w:t>
      </w:r>
      <w:bookmarkStart w:id="2" w:name="_GoBack"/>
      <w:bookmarkEnd w:id="2"/>
      <w:r>
        <w:rPr>
          <w:rFonts w:hint="eastAsia"/>
          <w:szCs w:val="0"/>
        </w:rPr>
        <w:t>处理费。无其他需要报告的事项</w:t>
      </w:r>
      <w:r>
        <w:rPr>
          <w:rFonts w:hint="eastAsia"/>
        </w:rPr>
        <w:t>。</w:t>
      </w: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- 3 -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- 2 -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7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20"/>
  <w:doNotDisplayPageBoundaries/>
  <w:bordersDoNotSurroundHeader/>
  <w:bordersDoNotSurroundFooter/>
  <w:defaultTabStop w:val="420"/>
  <w:evenAndOddHeaders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7">
    <w:name w:val="page number"/>
    <w:basedOn w:val="10"/>
  </w:style>
  <w:style w:type="paragraph" w:customStyle="1" w:styleId="18">
    <w:name w:val="样式 三号"/>
    <w:next w:val="3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19">
    <w:name w:val="正文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0">
    <w:name w:val="正文5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1">
    <w:name w:val="正文4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2">
    <w:name w:val="正文3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3">
    <w:name w:val="正文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4">
    <w:name w:val="正文1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25">
    <w:name w:val="index 5"/>
    <w:basedOn w:val="0"/>
    <w:autoRedefine/>
    <w:next w:val="0"/>
    <w:pPr>
      <w:ind w:left="1680"/>
    </w:pPr>
  </w:style>
  <w:style w:type="paragraph" w:styleId="26">
    <w:name w:val="index 6"/>
    <w:basedOn w:val="0"/>
    <w:autoRedefine/>
    <w:next w:val="0"/>
    <w:pPr>
      <w:ind w:left="2100"/>
    </w:pPr>
  </w:style>
  <w:style w:type="paragraph" w:styleId="27">
    <w:name w:val="index 7"/>
    <w:basedOn w:val="0"/>
    <w:autoRedefine/>
    <w:next w:val="0"/>
    <w:pPr>
      <w:ind w:left="2520"/>
    </w:pPr>
  </w:style>
  <w:style w:type="paragraph" w:styleId="28">
    <w:name w:val="index 8"/>
    <w:basedOn w:val="0"/>
    <w:autoRedefine/>
    <w:next w:val="0"/>
    <w:pPr>
      <w:ind w:left="2940"/>
    </w:pPr>
  </w:style>
  <w:style w:type="paragraph" w:styleId="29">
    <w:name w:val="toc 1"/>
    <w:basedOn w:val="0"/>
    <w:autoRedefine/>
    <w:next w:val="0"/>
  </w:style>
  <w:style w:type="paragraph" w:styleId="30">
    <w:name w:val="toc 2"/>
    <w:basedOn w:val="0"/>
    <w:autoRedefine/>
    <w:next w:val="0"/>
    <w:pPr>
      <w:ind w:left="420"/>
    </w:pPr>
  </w:style>
  <w:style w:type="paragraph" w:styleId="31">
    <w:name w:val="Normal (Web)"/>
    <w:next w:val="16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2">
    <w:name w:val="样式 1 三号"/>
    <w:next w:val="29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3">
    <w:name w:val="样式 三号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4">
    <w:name w:val="样式 小三"/>
    <w:next w:val="3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">
    <w:name w:val="样式 1 小四"/>
    <w:next w:val="23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36">
    <w:name w:val="样式 6 小四"/>
    <w:next w:val="24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7">
    <w:name w:val="样式 20 小四"/>
    <w:next w:val="25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8">
    <w:name w:val="样式 12 三号"/>
    <w:next w:val="28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50 三号"/>
    <w:next w:val="26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0">
    <w:name w:val="样式 13 三号"/>
    <w:next w:val="27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1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2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3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4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5">
    <w:name w:val="样式 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6">
    <w:name w:val="样式 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7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8">
    <w:name w:val="样式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49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0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1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2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3">
    <w:name w:val="样式 9 三号"/>
    <w:pPr>
      <w:widowControl w:val="0"/>
      <w:ind w:left="4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4">
    <w:name w:val="样式 2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55">
    <w:name w:val="样式 1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56">
    <w:name w:val="样式 3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styleId="57">
    <w:name w:val="List Number 2"/>
    <w:basedOn w:val="0"/>
    <w:pPr>
      <w:tabs>
        <w:tab w:val="left" w:pos="780"/>
      </w:tabs>
      <w:ind w:left="780" w:hanging="360"/>
    </w:pPr>
  </w:style>
  <w:style w:type="paragraph" w:customStyle="1" w:styleId="58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9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0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1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2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3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4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8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9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0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1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2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3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styleId="74">
    <w:name w:val="Balloon Text"/>
    <w:basedOn w:val="0"/>
    <w:rPr>
      <w:sz w:val="18"/>
      <w:szCs w:val="18"/>
    </w:rPr>
  </w:style>
  <w:style w:type="paragraph" w:customStyle="1" w:styleId="75">
    <w:name w:val="样式 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6">
    <w:name w:val="样式 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7">
    <w:name w:val="样式 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8">
    <w:name w:val="样式 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9">
    <w:name w:val="样式 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0">
    <w:name w:val="样式 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1">
    <w:name w:val="样式 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2">
    <w:name w:val="样式 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3">
    <w:name w:val="样式 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4">
    <w:name w:val="样式 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5">
    <w:name w:val="样式 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6">
    <w:name w:val="样式 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7">
    <w:name w:val="样式 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8">
    <w:name w:val="样式 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9">
    <w:name w:val="样式 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0">
    <w:name w:val="样式 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1">
    <w:name w:val="样式 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2">
    <w:name w:val="样式 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3">
    <w:name w:val="样式 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4">
    <w:name w:val="样式 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5">
    <w:name w:val="样式 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6">
    <w:name w:val="样式 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7">
    <w:name w:val="样式 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8">
    <w:name w:val="样式 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99">
    <w:name w:val="样式 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0">
    <w:name w:val="样式 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1">
    <w:name w:val="样式 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2">
    <w:name w:val="样式 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3">
    <w:name w:val="样式 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4">
    <w:name w:val="样式 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5">
    <w:name w:val="样式 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6">
    <w:name w:val="样式 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7">
    <w:name w:val="样式 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8">
    <w:name w:val="样式 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9">
    <w:name w:val="样式 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0">
    <w:name w:val="样式 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1">
    <w:name w:val="样式 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2">
    <w:name w:val="样式 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3">
    <w:name w:val="样式 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4">
    <w:name w:val="样式 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5">
    <w:name w:val="样式 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6">
    <w:name w:val="样式 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7">
    <w:name w:val="样式 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8">
    <w:name w:val="样式 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9">
    <w:name w:val="样式 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0">
    <w:name w:val="样式 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1">
    <w:name w:val="样式 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2">
    <w:name w:val="样式 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3">
    <w:name w:val="样式 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4">
    <w:name w:val="样式 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5">
    <w:name w:val="样式 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6">
    <w:name w:val="样式 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7">
    <w:name w:val="样式 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8">
    <w:name w:val="样式 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9">
    <w:name w:val="样式 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0">
    <w:name w:val="样式 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1">
    <w:name w:val="样式 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2">
    <w:name w:val="样式 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3">
    <w:name w:val="样式 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4">
    <w:name w:val="样式 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5">
    <w:name w:val="样式 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6">
    <w:name w:val="样式 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7">
    <w:name w:val="样式 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8">
    <w:name w:val="样式 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9">
    <w:name w:val="样式 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0">
    <w:name w:val="样式 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1">
    <w:name w:val="样式 8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2">
    <w:name w:val="样式 8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3">
    <w:name w:val="样式 8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4">
    <w:name w:val="样式 9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5">
    <w:name w:val="样式 9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6">
    <w:name w:val="样式 9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7">
    <w:name w:val="样式 9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8">
    <w:name w:val="样式 9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9">
    <w:name w:val="样式 9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0">
    <w:name w:val="样式 9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1">
    <w:name w:val="样式 9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2">
    <w:name w:val="样式 9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3">
    <w:name w:val="样式 9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4">
    <w:name w:val="样式 10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5">
    <w:name w:val="样式 10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6">
    <w:name w:val="样式 10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7">
    <w:name w:val="样式 10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8">
    <w:name w:val="样式 10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9">
    <w:name w:val="样式 10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0">
    <w:name w:val="样式 10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1">
    <w:name w:val="样式 10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2">
    <w:name w:val="样式 10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3">
    <w:name w:val="样式 10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4">
    <w:name w:val="样式 1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5">
    <w:name w:val="样式 1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6">
    <w:name w:val="样式 1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7">
    <w:name w:val="样式 1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8">
    <w:name w:val="样式 1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9">
    <w:name w:val="样式 1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0">
    <w:name w:val="样式 1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1">
    <w:name w:val="样式 1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2">
    <w:name w:val="样式 1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3">
    <w:name w:val="样式 1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4">
    <w:name w:val="样式 1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5">
    <w:name w:val="样式 1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6">
    <w:name w:val="样式 1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7">
    <w:name w:val="样式 1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8">
    <w:name w:val="样式 1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9">
    <w:name w:val="样式 1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0">
    <w:name w:val="样式 1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1">
    <w:name w:val="样式 1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2">
    <w:name w:val="样式 1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3">
    <w:name w:val="样式 1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4">
    <w:name w:val="样式 1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5">
    <w:name w:val="样式 1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6">
    <w:name w:val="样式 1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7">
    <w:name w:val="样式 1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8">
    <w:name w:val="样式 1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9">
    <w:name w:val="样式 1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0">
    <w:name w:val="样式 1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1">
    <w:name w:val="样式 1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2">
    <w:name w:val="样式 1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3">
    <w:name w:val="样式 1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4">
    <w:name w:val="样式 1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5">
    <w:name w:val="样式 1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6">
    <w:name w:val="样式 1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7">
    <w:name w:val="样式 1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8">
    <w:name w:val="样式 1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9">
    <w:name w:val="样式 1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0">
    <w:name w:val="样式 1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1">
    <w:name w:val="样式 1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2">
    <w:name w:val="样式 1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3">
    <w:name w:val="样式 1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4">
    <w:name w:val="样式 1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5">
    <w:name w:val="样式 1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6">
    <w:name w:val="样式 1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7">
    <w:name w:val="样式 1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8">
    <w:name w:val="样式 1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9">
    <w:name w:val="样式 1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0">
    <w:name w:val="样式 1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1">
    <w:name w:val="样式 1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2">
    <w:name w:val="样式 1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3">
    <w:name w:val="样式 1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4">
    <w:name w:val="样式 1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5">
    <w:name w:val="样式 1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6">
    <w:name w:val="样式 1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7">
    <w:name w:val="样式 1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8">
    <w:name w:val="样式 1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9">
    <w:name w:val="样式 1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0">
    <w:name w:val="样式 1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1">
    <w:name w:val="样式 1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2">
    <w:name w:val="样式 1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3">
    <w:name w:val="样式 1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4">
    <w:name w:val="样式 1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5">
    <w:name w:val="样式 1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6">
    <w:name w:val="样式 1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7">
    <w:name w:val="样式 1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8">
    <w:name w:val="样式 1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9">
    <w:name w:val="样式 1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0">
    <w:name w:val="样式 1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1">
    <w:name w:val="样式 1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2">
    <w:name w:val="样式 1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3">
    <w:name w:val="样式 1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4">
    <w:name w:val="样式 1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5">
    <w:name w:val="样式 1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6">
    <w:name w:val="样式 1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7">
    <w:name w:val="样式 1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8">
    <w:name w:val="样式 1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9">
    <w:name w:val="样式 1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0">
    <w:name w:val="样式 1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1">
    <w:name w:val="样式 18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2">
    <w:name w:val="样式 18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3">
    <w:name w:val="样式 18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4">
    <w:name w:val="样式 19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5">
    <w:name w:val="样式 19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6">
    <w:name w:val="样式 19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7">
    <w:name w:val="样式 19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8">
    <w:name w:val="样式 19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49">
    <w:name w:val="样式 19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0">
    <w:name w:val="样式 19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1">
    <w:name w:val="样式 19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2">
    <w:name w:val="样式 19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3">
    <w:name w:val="样式 19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4">
    <w:name w:val="样式 20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5">
    <w:name w:val="样式 20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6">
    <w:name w:val="样式 20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7">
    <w:name w:val="样式 20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8">
    <w:name w:val="样式 20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59">
    <w:name w:val="样式 20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0">
    <w:name w:val="样式 20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1">
    <w:name w:val="样式 20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2">
    <w:name w:val="样式 20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3">
    <w:name w:val="样式 20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4">
    <w:name w:val="样式 2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5">
    <w:name w:val="样式 2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6">
    <w:name w:val="样式 2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7">
    <w:name w:val="样式 2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8">
    <w:name w:val="样式 2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69">
    <w:name w:val="样式 2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70">
    <w:name w:val="样式 2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character" w:styleId="271">
    <w:name w:val="annotation reference"/>
    <w:basedOn w:val="10"/>
    <w:rPr>
      <w:sz w:val="21"/>
      <w:szCs w:val="21"/>
    </w:rPr>
  </w:style>
  <w:style w:type="paragraph" w:styleId="272">
    <w:name w:val="annotation text"/>
    <w:basedOn w:val="0"/>
    <w:pPr>
      <w:jc w:val="left"/>
    </w:pPr>
  </w:style>
  <w:style w:type="paragraph" w:styleId="273">
    <w:name w:val="annotation subject"/>
    <w:basedOn w:val="272"/>
    <w:next w:val="272"/>
    <w:rPr>
      <w:b/>
      <w:bCs/>
    </w:rPr>
  </w:style>
  <w:style w:type="paragraph" w:customStyle="1" w:styleId="274">
    <w:name w:val="样式 1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275">
    <w:name w:val="样式 1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668</TotalTime>
  <Application>Yozo_Office</Application>
  <Pages>6</Pages>
  <Words>1858</Words>
  <Characters>1922</Characters>
  <Lines>411</Lines>
  <Paragraphs>306</Paragraphs>
  <CharactersWithSpaces>1927</CharactersWithSpaces>
  <Company>ccic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吕大良</dc:creator>
  <cp:lastModifiedBy>刘杰</cp:lastModifiedBy>
  <cp:revision>3</cp:revision>
  <cp:lastPrinted>2024-01-19T03:27:00Z</cp:lastPrinted>
  <dcterms:created xsi:type="dcterms:W3CDTF">2025-01-06T02:49:00Z</dcterms:created>
  <dcterms:modified xsi:type="dcterms:W3CDTF">2025-12-11T08:33:47Z</dcterms:modified>
</cp:coreProperties>
</file>