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39"/>
        <w:spacing w:line="580" w:lineRule="exact"/>
        <w:jc w:val="center"/>
        <w:rPr>
          <w:rFonts w:ascii="方正小标宋_GBK" w:eastAsia="方正小标宋_GBK" w:cs="方正小标宋_GBK" w:hint="eastAsia"/>
          <w:sz w:val="44"/>
          <w:szCs w:val="44"/>
        </w:rPr>
      </w:pPr>
      <w:bookmarkStart w:id="0" w:name="_Hlk25540369"/>
      <w:bookmarkStart w:id="1" w:name="cogw__正文__file"/>
      <w:r>
        <w:rPr>
          <w:rFonts w:ascii="方正小标宋_GBK" w:eastAsia="方正小标宋_GBK" w:cs="方正小标宋_GBK" w:hint="eastAsia"/>
          <w:sz w:val="44"/>
          <w:szCs w:val="44"/>
        </w:rPr>
        <w:t>三门岛海关2024年政府信息公开工作年度报告</w:t>
      </w:r>
      <w:bookmarkEnd w:id="0"/>
    </w:p>
    <w:p>
      <w:pPr>
        <w:pStyle w:val="39"/>
        <w:spacing w:line="580" w:lineRule="exact"/>
        <w:jc w:val="center"/>
        <w:rPr>
          <w:rFonts w:ascii="方正仿宋_GBK" w:cs="方正仿宋_GBK" w:hint="eastAsia"/>
          <w:szCs w:val="32"/>
        </w:rPr>
      </w:pPr>
    </w:p>
    <w:p>
      <w:pPr>
        <w:pStyle w:val="25"/>
        <w:widowControl/>
        <w:shd w:val="clear" w:color="auto" w:fill="FFFFFF"/>
        <w:adjustRightInd w:val="0"/>
        <w:snapToGrid w:val="0"/>
        <w:spacing w:beforeAutospacing="0" w:afterAutospacing="0" w:line="560" w:lineRule="exact"/>
        <w:ind w:firstLineChars="200" w:firstLine="640"/>
        <w:jc w:val="both"/>
        <w:rPr>
          <w:rFonts w:ascii="方正黑体_GBK" w:eastAsia="方正黑体_GBK" w:cs="楷体_GB2312" w:hint="eastAsia"/>
          <w:bCs/>
          <w:sz w:val="32"/>
          <w:szCs w:val="32"/>
        </w:rPr>
      </w:pPr>
      <w:r>
        <w:rPr>
          <w:rFonts w:ascii="方正黑体_GBK" w:eastAsia="方正黑体_GBK" w:cs="楷体_GB2312" w:hint="eastAsia"/>
          <w:bCs/>
          <w:sz w:val="32"/>
          <w:szCs w:val="32"/>
          <w:shd w:val="clear" w:color="auto" w:fill="FFFFFF"/>
        </w:rPr>
        <w:t>一、总体情况</w:t>
      </w:r>
    </w:p>
    <w:p>
      <w:pPr>
        <w:pStyle w:val="25"/>
        <w:shd w:val="clear" w:color="auto" w:fill="FFFFFF"/>
        <w:adjustRightInd w:val="0"/>
        <w:snapToGrid w:val="0"/>
        <w:spacing w:beforeAutospacing="0" w:afterAutospacing="0" w:line="560" w:lineRule="exact"/>
        <w:ind w:firstLineChars="200" w:firstLine="640"/>
        <w:jc w:val="both"/>
        <w:rPr>
          <w:rFonts w:eastAsia="方正仿宋_GBK" w:hint="eastAsia"/>
          <w:sz w:val="32"/>
          <w:szCs w:val="32"/>
        </w:rPr>
      </w:pPr>
      <w:r>
        <w:rPr>
          <w:rFonts w:eastAsia="方正仿宋_GBK"/>
          <w:sz w:val="32"/>
          <w:szCs w:val="32"/>
          <w:shd w:val="clear" w:color="auto" w:fill="FFFFFF"/>
        </w:rPr>
        <w:t>202</w:t>
      </w:r>
      <w:r>
        <w:rPr>
          <w:rFonts w:eastAsia="方正仿宋_GBK" w:hint="eastAsia"/>
          <w:sz w:val="32"/>
          <w:szCs w:val="32"/>
          <w:shd w:val="clear" w:color="auto" w:fill="FFFFFF"/>
        </w:rPr>
        <w:t>4年度，三门岛海关坚持以习近平新时代中国特色社会主义思想为指导，全面学习宣传贯彻党的二十届三中全会精神，践行为民宗旨，严格按照</w:t>
      </w:r>
      <w:r>
        <w:rPr>
          <w:rFonts w:eastAsia="方正仿宋_GBK" w:hint="eastAsia"/>
          <w:sz w:val="32"/>
          <w:szCs w:val="32"/>
        </w:rPr>
        <w:t>《中华人民共和国政府信息公开条例》</w:t>
      </w:r>
      <w:r>
        <w:rPr>
          <w:rFonts w:eastAsia="方正仿宋_GBK"/>
          <w:sz w:val="32"/>
          <w:szCs w:val="32"/>
        </w:rPr>
        <w:t>规定</w:t>
      </w:r>
      <w:r>
        <w:rPr>
          <w:rFonts w:eastAsia="方正仿宋_GBK" w:hint="eastAsia"/>
          <w:sz w:val="32"/>
          <w:szCs w:val="32"/>
        </w:rPr>
        <w:t>，认真开展政府信息公开工作。</w:t>
      </w:r>
    </w:p>
    <w:p>
      <w:pPr>
        <w:pStyle w:val="29"/>
        <w:adjustRightInd w:val="0"/>
        <w:snapToGrid w:val="0"/>
        <w:spacing w:line="560" w:lineRule="exact"/>
        <w:ind w:firstLineChars="200" w:firstLine="640"/>
        <w:jc w:val="both"/>
        <w:rPr>
          <w:rFonts w:ascii="Times New Roman" w:eastAsia="方正仿宋_GBK" w:hAnsi="Times New Roman"/>
          <w:bCs/>
          <w:sz w:val="32"/>
          <w:szCs w:val="32"/>
          <w:shd w:val="clear" w:color="auto" w:fill="FFFFFF"/>
        </w:rPr>
      </w:pPr>
      <w:r>
        <w:rPr>
          <w:rFonts w:ascii="Times New Roman" w:eastAsia="方正楷体_GBK" w:hAnsi="Times New Roman" w:hint="eastAsia"/>
          <w:b/>
          <w:sz w:val="32"/>
          <w:szCs w:val="32"/>
        </w:rPr>
        <w:t>（一）</w:t>
      </w:r>
      <w:r>
        <w:rPr>
          <w:rFonts w:ascii="Times New Roman" w:eastAsia="方正楷体_GBK" w:hAnsi="Times New Roman"/>
          <w:b/>
          <w:sz w:val="32"/>
          <w:szCs w:val="32"/>
        </w:rPr>
        <w:t>加强组织领导</w:t>
      </w:r>
      <w:r>
        <w:rPr>
          <w:rFonts w:ascii="Times New Roman" w:eastAsia="方正楷体_GBK" w:hAnsi="Times New Roman" w:hint="eastAsia"/>
          <w:b/>
          <w:sz w:val="32"/>
          <w:szCs w:val="32"/>
        </w:rPr>
        <w:t>。</w:t>
      </w:r>
      <w:r>
        <w:rPr>
          <w:rFonts w:ascii="Times New Roman" w:eastAsia="方正仿宋_GBK" w:hAnsi="Times New Roman" w:hint="eastAsia"/>
          <w:bCs/>
          <w:kern w:val="0"/>
          <w:sz w:val="32"/>
          <w:szCs w:val="32"/>
          <w:shd w:val="clear" w:color="auto" w:fill="FFFFFF"/>
        </w:rPr>
        <w:t>严格加强网络安全管理，依法确定政府信息公开工作分管领导和隶属海关门户网站管理人员并向上级主管部门备案。</w:t>
      </w:r>
      <w:r>
        <w:rPr>
          <w:rFonts w:ascii="Times New Roman" w:eastAsia="方正仿宋_GBK" w:hAnsi="Times New Roman" w:hint="eastAsia"/>
          <w:kern w:val="0"/>
          <w:sz w:val="32"/>
          <w:szCs w:val="32"/>
          <w:shd w:val="clear" w:color="auto" w:fill="FFFFFF"/>
        </w:rPr>
        <w:t>认真落实政府信息公开工作相关规定，压紧压实关领导和主管科室责任，指定专人具体负责，进一步提升政府信息公开工作规范化水平，确保本关区政府信息公开工作有效开展。</w:t>
      </w:r>
    </w:p>
    <w:p>
      <w:pPr>
        <w:pStyle w:val="86"/>
        <w:adjustRightInd w:val="0"/>
        <w:snapToGrid w:val="0"/>
        <w:spacing w:line="560" w:lineRule="exact"/>
        <w:ind w:firstLineChars="200" w:firstLine="640"/>
        <w:rPr>
          <w:rFonts w:ascii="Times New Roman" w:eastAsia="方正仿宋_GBK" w:cs="Times New Roman" w:hAnsi="Times New Roman" w:hint="eastAsia"/>
          <w:sz w:val="32"/>
        </w:rPr>
      </w:pPr>
      <w:r>
        <w:rPr>
          <w:rFonts w:ascii="Times New Roman" w:eastAsia="方正楷体_GBK" w:cs="Times New Roman" w:hAnsi="Times New Roman"/>
          <w:b/>
          <w:sz w:val="32"/>
          <w:szCs w:val="32"/>
        </w:rPr>
        <w:t>（二）主动公开方面</w:t>
      </w:r>
      <w:r>
        <w:rPr>
          <w:rFonts w:ascii="Times New Roman" w:eastAsia="方正楷体_GBK" w:cs="Times New Roman" w:hAnsi="Times New Roman" w:hint="eastAsia"/>
          <w:b/>
          <w:sz w:val="32"/>
          <w:szCs w:val="32"/>
        </w:rPr>
        <w:t>。</w:t>
      </w:r>
      <w:r>
        <w:rPr>
          <w:rFonts w:ascii="Times New Roman" w:eastAsia="方正仿宋_GBK" w:hAnsi="Times New Roman"/>
          <w:sz w:val="32"/>
        </w:rPr>
        <w:t>通过深圳海关门户网站</w:t>
      </w:r>
      <w:r>
        <w:rPr>
          <w:rFonts w:ascii="Times New Roman" w:eastAsia="方正仿宋_GBK" w:hAnsi="Times New Roman" w:hint="eastAsia"/>
          <w:sz w:val="32"/>
        </w:rPr>
        <w:t>“政府信息公开年报”发布</w:t>
      </w:r>
      <w:r>
        <w:rPr>
          <w:rFonts w:ascii="Times New Roman" w:eastAsia="方正仿宋_GBK" w:hAnsi="Times New Roman" w:hint="eastAsia"/>
          <w:kern w:val="0"/>
          <w:sz w:val="32"/>
          <w:szCs w:val="32"/>
          <w:shd w:val="clear" w:color="auto" w:fill="FFFFFF"/>
        </w:rPr>
        <w:t>2023年度信息公开年度报告，通过</w:t>
      </w:r>
      <w:r>
        <w:rPr>
          <w:rFonts w:ascii="Times New Roman" w:eastAsia="方正仿宋_GBK" w:hAnsi="Times New Roman" w:hint="eastAsia"/>
          <w:sz w:val="32"/>
        </w:rPr>
        <w:t>“</w:t>
      </w:r>
      <w:r>
        <w:rPr>
          <w:rFonts w:ascii="Times New Roman" w:eastAsia="方正仿宋_GBK" w:hAnsi="Times New Roman"/>
          <w:sz w:val="32"/>
        </w:rPr>
        <w:t>基层政务公开</w:t>
      </w:r>
      <w:r>
        <w:rPr>
          <w:rFonts w:ascii="Times New Roman" w:eastAsia="方正仿宋_GBK" w:hAnsi="Times New Roman" w:hint="eastAsia"/>
          <w:sz w:val="32"/>
        </w:rPr>
        <w:t>”栏目</w:t>
      </w:r>
      <w:r>
        <w:rPr>
          <w:rFonts w:ascii="Times New Roman" w:eastAsia="方正仿宋_GBK" w:hAnsi="Times New Roman"/>
          <w:sz w:val="32"/>
        </w:rPr>
        <w:t>更新机构职能，</w:t>
      </w:r>
      <w:r>
        <w:rPr>
          <w:rFonts w:ascii="Times New Roman" w:eastAsia="方正仿宋_GBK" w:hAnsi="Times New Roman" w:hint="eastAsia"/>
          <w:sz w:val="32"/>
        </w:rPr>
        <w:t>发布“关长接待日”通知12份。</w:t>
      </w:r>
      <w:r>
        <w:rPr>
          <w:rFonts w:ascii="Times New Roman" w:eastAsia="方正仿宋_GBK" w:hAnsi="Times New Roman"/>
          <w:sz w:val="32"/>
        </w:rPr>
        <w:t>三门岛海关位于惠州市大亚湾区三门岛。作为全国4个中途监管站海关之一，主要负责监管珠江口以东广东、福建及以北沿海各港口的来往港澳小型船舶及所载货物、物品中途监管工作。现有内设科室5个，分别为办公室、人事政工科、综合保障科、监管一科、监管二科，人员编制101名。工作时间24小时值班。按照本关职能分工，年内</w:t>
      </w:r>
      <w:r>
        <w:rPr>
          <w:rFonts w:eastAsia="方正仿宋_GBK" w:hint="eastAsia"/>
          <w:bCs/>
          <w:sz w:val="32"/>
          <w:szCs w:val="32"/>
          <w:shd w:val="clear" w:color="auto" w:fill="FFFFFF"/>
        </w:rPr>
        <w:t>未发布规章、规范性文件，不涉及行政许可、行政处罚、行政强制等</w:t>
      </w:r>
      <w:r>
        <w:rPr>
          <w:rFonts w:eastAsia="方正仿宋_GBK"/>
          <w:bCs/>
          <w:sz w:val="32"/>
          <w:szCs w:val="32"/>
          <w:shd w:val="clear" w:color="auto" w:fill="FFFFFF"/>
        </w:rPr>
        <w:t>行政执法</w:t>
      </w:r>
      <w:r>
        <w:rPr>
          <w:rFonts w:eastAsia="方正仿宋_GBK" w:hint="eastAsia"/>
          <w:bCs/>
          <w:sz w:val="32"/>
          <w:szCs w:val="32"/>
          <w:shd w:val="clear" w:color="auto" w:fill="FFFFFF"/>
        </w:rPr>
        <w:t>作业，未办理行政事业性收费等事项。</w:t>
      </w:r>
    </w:p>
    <w:p>
      <w:pPr>
        <w:pStyle w:val="72"/>
        <w:adjustRightInd w:val="0"/>
        <w:snapToGrid w:val="0"/>
        <w:spacing w:line="560" w:lineRule="exact"/>
        <w:ind w:firstLineChars="200" w:firstLine="640"/>
        <w:rPr>
          <w:rFonts w:ascii="Times New Roman" w:eastAsia="方正楷体_GBK" w:cs="Times New Roman" w:hAnsi="Times New Roman"/>
          <w:b/>
          <w:sz w:val="32"/>
          <w:szCs w:val="32"/>
        </w:rPr>
      </w:pPr>
      <w:r>
        <w:rPr>
          <w:rFonts w:ascii="Times New Roman" w:eastAsia="方正楷体_GBK" w:cs="Times New Roman" w:hAnsi="Times New Roman" w:hint="eastAsia"/>
          <w:b/>
          <w:sz w:val="32"/>
          <w:szCs w:val="32"/>
        </w:rPr>
        <w:t>（</w:t>
      </w:r>
      <w:r>
        <w:rPr>
          <w:rFonts w:ascii="Times New Roman" w:eastAsia="方正楷体_GBK" w:cs="Times New Roman" w:hAnsi="Times New Roman"/>
          <w:b/>
          <w:sz w:val="32"/>
          <w:szCs w:val="32"/>
        </w:rPr>
        <w:t>三</w:t>
      </w:r>
      <w:r>
        <w:rPr>
          <w:rFonts w:ascii="Times New Roman" w:eastAsia="方正楷体_GBK" w:cs="Times New Roman" w:hAnsi="Times New Roman" w:hint="eastAsia"/>
          <w:b/>
          <w:sz w:val="32"/>
          <w:szCs w:val="32"/>
        </w:rPr>
        <w:t>）</w:t>
      </w:r>
      <w:r>
        <w:rPr>
          <w:rFonts w:ascii="Times New Roman" w:eastAsia="方正楷体_GBK" w:cs="Times New Roman" w:hAnsi="Times New Roman"/>
          <w:b/>
          <w:sz w:val="32"/>
          <w:szCs w:val="32"/>
        </w:rPr>
        <w:t>依申请公开方面</w:t>
      </w:r>
      <w:r>
        <w:rPr>
          <w:rFonts w:ascii="Times New Roman" w:eastAsia="方正楷体_GBK" w:cs="Times New Roman" w:hAnsi="Times New Roman" w:hint="eastAsia"/>
          <w:b/>
          <w:sz w:val="32"/>
          <w:szCs w:val="32"/>
        </w:rPr>
        <w:t>。</w:t>
      </w:r>
      <w:r>
        <w:rPr>
          <w:rFonts w:ascii="Times New Roman" w:eastAsia="方正仿宋_GBK" w:hAnsi="Times New Roman" w:hint="eastAsia"/>
          <w:sz w:val="32"/>
        </w:rPr>
        <w:t>我关受理政府信息公开申请方式包括现场受理、邮政信函受理两种渠道。年内收到自然人</w:t>
      </w:r>
      <w:r>
        <w:rPr>
          <w:rFonts w:ascii="Times New Roman" w:eastAsia="方正仿宋_GBK" w:hAnsi="Times New Roman"/>
          <w:sz w:val="32"/>
        </w:rPr>
        <w:t>以</w:t>
      </w:r>
      <w:r>
        <w:rPr>
          <w:rFonts w:ascii="Times New Roman" w:eastAsia="方正仿宋_GBK" w:hAnsi="Times New Roman" w:hint="eastAsia"/>
          <w:sz w:val="32"/>
        </w:rPr>
        <w:t>邮政信函方式</w:t>
      </w:r>
      <w:r>
        <w:rPr>
          <w:rFonts w:ascii="Times New Roman" w:eastAsia="方正仿宋_GBK" w:hAnsi="Times New Roman"/>
          <w:sz w:val="32"/>
        </w:rPr>
        <w:t>提交的</w:t>
      </w:r>
      <w:r>
        <w:rPr>
          <w:rFonts w:ascii="Times New Roman" w:eastAsia="方正仿宋_GBK" w:hAnsi="Times New Roman" w:hint="eastAsia"/>
          <w:sz w:val="32"/>
        </w:rPr>
        <w:t>信息公开申请1份，</w:t>
      </w:r>
      <w:r>
        <w:rPr>
          <w:rFonts w:ascii="Times New Roman" w:eastAsia="方正仿宋_GBK" w:hAnsi="Times New Roman"/>
          <w:sz w:val="32"/>
        </w:rPr>
        <w:t>已</w:t>
      </w:r>
      <w:r>
        <w:rPr>
          <w:rFonts w:ascii="Times New Roman" w:eastAsia="方正仿宋_GBK" w:hAnsi="Times New Roman" w:hint="eastAsia"/>
          <w:sz w:val="32"/>
        </w:rPr>
        <w:t>严格按照《</w:t>
      </w:r>
      <w:r>
        <w:rPr>
          <w:rFonts w:eastAsia="方正仿宋_GBK" w:hint="eastAsia"/>
          <w:sz w:val="32"/>
          <w:szCs w:val="32"/>
        </w:rPr>
        <w:t>中华人民共和国政府信息公开条例</w:t>
      </w:r>
      <w:r>
        <w:rPr>
          <w:rFonts w:ascii="Times New Roman" w:eastAsia="方正仿宋_GBK" w:hAnsi="Times New Roman" w:hint="eastAsia"/>
          <w:sz w:val="32"/>
        </w:rPr>
        <w:t>》</w:t>
      </w:r>
      <w:r>
        <w:rPr>
          <w:rFonts w:ascii="Times New Roman" w:eastAsia="方正仿宋_GBK" w:hAnsi="Times New Roman"/>
          <w:sz w:val="32"/>
        </w:rPr>
        <w:t>给予</w:t>
      </w:r>
      <w:r>
        <w:rPr>
          <w:rFonts w:ascii="Times New Roman" w:eastAsia="方正仿宋_GBK" w:hAnsi="Times New Roman" w:hint="eastAsia"/>
          <w:sz w:val="32"/>
        </w:rPr>
        <w:t>答复。</w:t>
      </w:r>
    </w:p>
    <w:p>
      <w:pPr>
        <w:pStyle w:val="33"/>
        <w:adjustRightInd w:val="0"/>
        <w:snapToGrid w:val="0"/>
        <w:spacing w:beforeLines="50" w:before="218" w:afterLines="50" w:after="218"/>
        <w:ind w:firstLineChars="200" w:firstLine="624"/>
        <w:rPr>
          <w:rFonts w:ascii="方正黑体_GBK" w:eastAsia="方正黑体_GBK" w:cs="楷体_GB2312" w:hint="eastAsia"/>
          <w:bCs/>
          <w:szCs w:val="32"/>
          <w:shd w:val="clear" w:color="auto" w:fill="FFFFFF"/>
        </w:rPr>
      </w:pPr>
      <w:r>
        <w:rPr>
          <w:rFonts w:ascii="方正黑体_GBK" w:eastAsia="方正黑体_GBK" w:cs="楷体_GB2312" w:hint="eastAsia"/>
          <w:bCs/>
          <w:szCs w:val="32"/>
          <w:shd w:val="clear" w:color="auto" w:fill="FFFFFF"/>
        </w:rPr>
        <w:t>二、主动公开政府信息情况</w:t>
      </w:r>
    </w:p>
    <w:tbl>
      <w:tblPr>
        <w:jc w:val="center"/>
        <w:tblW w:w="8994"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2720"/>
        <w:gridCol w:w="2183"/>
        <w:gridCol w:w="1936"/>
        <w:gridCol w:w="2156"/>
      </w:tblGrid>
      <w:tr>
        <w:trPr>
          <w:trHeight w:val="495"/>
        </w:trPr>
        <w:tc>
          <w:tcPr>
            <w:tcW w:w="8995" w:type="dxa"/>
            <w:gridSpan w:val="4"/>
            <w:tcBorders>
              <w:top w:val="single" w:sz="8" w:space="0" w:color="auto"/>
              <w:left w:val="single" w:sz="8" w:space="0" w:color="auto"/>
              <w:bottom w:val="single" w:sz="8" w:space="0" w:color="auto"/>
              <w:right w:val="single" w:sz="8" w:space="0" w:color="auto"/>
            </w:tcBorders>
            <w:shd w:val="clear" w:color="auto" w:fill="C6D9F1"/>
            <w:tcMar>
              <w:left w:w="108" w:type="dxa"/>
              <w:right w:w="108" w:type="dxa"/>
            </w:tcMar>
            <w:vAlign w:val="center"/>
          </w:tcPr>
          <w:p>
            <w:pPr>
              <w:pStyle w:val="28"/>
              <w:widowControl/>
              <w:jc w:val="center"/>
              <w:rPr>
                <w:sz w:val="24"/>
                <w:szCs w:val="24"/>
              </w:rPr>
            </w:pPr>
            <w:r>
              <w:rPr>
                <w:rFonts w:ascii="宋体" w:cs="宋体" w:hint="eastAsia"/>
                <w:kern w:val="0"/>
                <w:sz w:val="24"/>
                <w:szCs w:val="24"/>
              </w:rPr>
              <w:t>第二十条第（一）项</w:t>
            </w:r>
          </w:p>
        </w:tc>
      </w:tr>
      <w:tr>
        <w:trPr>
          <w:trHeight w:val="68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信息内容</w:t>
            </w:r>
          </w:p>
        </w:tc>
        <w:tc>
          <w:tcPr>
            <w:tcW w:w="2183"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本年</w:t>
            </w:r>
            <w:r>
              <w:rPr>
                <w:kern w:val="0"/>
                <w:sz w:val="24"/>
                <w:szCs w:val="24"/>
              </w:rPr>
              <w:t>制发件数</w:t>
            </w:r>
          </w:p>
        </w:tc>
        <w:tc>
          <w:tcPr>
            <w:tcW w:w="1936"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本年废止件</w:t>
            </w:r>
            <w:r>
              <w:rPr>
                <w:kern w:val="0"/>
                <w:sz w:val="24"/>
                <w:szCs w:val="24"/>
              </w:rPr>
              <w:t>数</w:t>
            </w:r>
          </w:p>
        </w:tc>
        <w:tc>
          <w:tcPr>
            <w:tcW w:w="2156" w:type="dxa"/>
            <w:tcBorders>
              <w:top w:val="nil"/>
              <w:left w:val="nil"/>
              <w:bottom w:val="single" w:sz="8" w:space="0" w:color="auto"/>
              <w:right w:val="single" w:sz="8" w:space="0" w:color="auto"/>
            </w:tcBorders>
            <w:shd w:val="clear" w:color="auto" w:fill="auto"/>
            <w:vAlign w:val="center"/>
          </w:tcPr>
          <w:p>
            <w:pPr>
              <w:pStyle w:val="28"/>
              <w:widowControl/>
              <w:jc w:val="center"/>
              <w:rPr>
                <w:sz w:val="24"/>
                <w:szCs w:val="24"/>
              </w:rPr>
            </w:pPr>
            <w:r>
              <w:rPr>
                <w:rFonts w:ascii="宋体" w:cs="宋体" w:hint="eastAsia"/>
                <w:kern w:val="0"/>
                <w:sz w:val="24"/>
                <w:szCs w:val="24"/>
              </w:rPr>
              <w:t>现行有效件数</w:t>
            </w:r>
          </w:p>
        </w:tc>
      </w:tr>
      <w:tr>
        <w:trPr>
          <w:trHeight w:val="51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adjustRightInd w:val="0"/>
              <w:snapToGrid w:val="0"/>
              <w:spacing w:line="260" w:lineRule="exact"/>
              <w:jc w:val="center"/>
              <w:rPr>
                <w:sz w:val="24"/>
                <w:szCs w:val="24"/>
              </w:rPr>
            </w:pPr>
            <w:r>
              <w:rPr>
                <w:rFonts w:ascii="宋体" w:cs="宋体" w:hint="eastAsia"/>
                <w:kern w:val="0"/>
                <w:sz w:val="24"/>
                <w:szCs w:val="24"/>
              </w:rPr>
              <w:t>规章</w:t>
            </w:r>
          </w:p>
        </w:tc>
        <w:tc>
          <w:tcPr>
            <w:tcW w:w="2183"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1936"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2156" w:type="dxa"/>
            <w:tcBorders>
              <w:top w:val="nil"/>
              <w:left w:val="nil"/>
              <w:bottom w:val="single" w:sz="8" w:space="0" w:color="auto"/>
              <w:right w:val="single" w:sz="8" w:space="0" w:color="auto"/>
            </w:tcBorders>
            <w:shd w:val="clear" w:color="auto" w:fill="auto"/>
            <w:vAlign w:val="center"/>
          </w:tcPr>
          <w:p>
            <w:pPr>
              <w:pStyle w:val="28"/>
              <w:jc w:val="center"/>
              <w:rPr>
                <w:rFonts w:eastAsia="方正仿宋_GBK"/>
                <w:sz w:val="24"/>
                <w:szCs w:val="24"/>
              </w:rPr>
            </w:pPr>
            <w:r>
              <w:rPr>
                <w:rFonts w:eastAsia="方正仿宋_GBK" w:hint="eastAsia"/>
                <w:sz w:val="24"/>
                <w:szCs w:val="24"/>
              </w:rPr>
              <w:t>0</w:t>
            </w:r>
          </w:p>
        </w:tc>
      </w:tr>
      <w:tr>
        <w:trPr>
          <w:trHeight w:val="51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adjustRightInd w:val="0"/>
              <w:snapToGrid w:val="0"/>
              <w:spacing w:line="260" w:lineRule="exact"/>
              <w:jc w:val="center"/>
              <w:rPr>
                <w:sz w:val="24"/>
                <w:szCs w:val="24"/>
              </w:rPr>
            </w:pPr>
            <w:r>
              <w:rPr>
                <w:rFonts w:ascii="宋体" w:cs="宋体" w:hint="eastAsia"/>
                <w:kern w:val="0"/>
                <w:sz w:val="24"/>
                <w:szCs w:val="24"/>
              </w:rPr>
              <w:t>行政规范性文件</w:t>
            </w:r>
          </w:p>
        </w:tc>
        <w:tc>
          <w:tcPr>
            <w:tcW w:w="2183"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1936"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2156" w:type="dxa"/>
            <w:tcBorders>
              <w:top w:val="nil"/>
              <w:left w:val="nil"/>
              <w:bottom w:val="single" w:sz="8" w:space="0" w:color="auto"/>
              <w:right w:val="single" w:sz="8" w:space="0" w:color="auto"/>
            </w:tcBorders>
            <w:shd w:val="clear" w:color="auto" w:fill="auto"/>
            <w:vAlign w:val="center"/>
          </w:tcPr>
          <w:p>
            <w:pPr>
              <w:pStyle w:val="28"/>
              <w:jc w:val="center"/>
              <w:rPr>
                <w:rFonts w:eastAsia="方正仿宋_GBK"/>
                <w:sz w:val="24"/>
                <w:szCs w:val="24"/>
              </w:rPr>
            </w:pPr>
            <w:r>
              <w:rPr>
                <w:rFonts w:eastAsia="方正仿宋_GBK" w:hint="eastAsia"/>
                <w:sz w:val="24"/>
                <w:szCs w:val="24"/>
              </w:rPr>
              <w:t>0</w:t>
            </w:r>
          </w:p>
        </w:tc>
      </w:tr>
      <w:tr>
        <w:trPr>
          <w:trHeight w:val="435"/>
        </w:trPr>
        <w:tc>
          <w:tcPr>
            <w:tcW w:w="8995" w:type="dxa"/>
            <w:gridSpan w:val="4"/>
            <w:tcBorders>
              <w:top w:val="nil"/>
              <w:left w:val="single" w:sz="8" w:space="0" w:color="auto"/>
              <w:bottom w:val="single" w:sz="8" w:space="0" w:color="auto"/>
              <w:right w:val="single" w:sz="8" w:space="0" w:color="auto"/>
            </w:tcBorders>
            <w:shd w:val="clear" w:color="auto" w:fill="C6D9F1"/>
            <w:tcMar>
              <w:left w:w="108" w:type="dxa"/>
              <w:right w:w="108" w:type="dxa"/>
            </w:tcMar>
            <w:vAlign w:val="center"/>
          </w:tcPr>
          <w:p>
            <w:pPr>
              <w:pStyle w:val="28"/>
              <w:widowControl/>
              <w:jc w:val="center"/>
              <w:rPr>
                <w:sz w:val="24"/>
                <w:szCs w:val="24"/>
              </w:rPr>
            </w:pPr>
            <w:r>
              <w:rPr>
                <w:rFonts w:ascii="宋体" w:cs="宋体" w:hint="eastAsia"/>
                <w:kern w:val="0"/>
                <w:sz w:val="24"/>
                <w:szCs w:val="24"/>
              </w:rPr>
              <w:t>第二十条第（五）项</w:t>
            </w:r>
          </w:p>
        </w:tc>
      </w:tr>
      <w:tr>
        <w:trPr>
          <w:trHeight w:val="68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adjustRightInd w:val="0"/>
              <w:snapToGrid w:val="0"/>
              <w:spacing w:line="260" w:lineRule="exact"/>
              <w:jc w:val="center"/>
              <w:rPr>
                <w:sz w:val="24"/>
                <w:szCs w:val="24"/>
              </w:rPr>
            </w:pPr>
            <w:r>
              <w:rPr>
                <w:rFonts w:ascii="宋体" w:cs="宋体" w:hint="eastAsia"/>
                <w:kern w:val="0"/>
                <w:sz w:val="24"/>
                <w:szCs w:val="24"/>
              </w:rPr>
              <w:t>信息内容</w:t>
            </w:r>
          </w:p>
        </w:tc>
        <w:tc>
          <w:tcPr>
            <w:tcW w:w="6275" w:type="dxa"/>
            <w:gridSpan w:val="3"/>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52"/>
              <w:widowControl/>
              <w:adjustRightInd w:val="0"/>
              <w:snapToGrid w:val="0"/>
              <w:spacing w:line="260" w:lineRule="exact"/>
              <w:jc w:val="center"/>
              <w:rPr>
                <w:sz w:val="24"/>
                <w:szCs w:val="24"/>
              </w:rPr>
            </w:pPr>
            <w:r>
              <w:rPr>
                <w:rFonts w:ascii="宋体" w:cs="宋体" w:hint="eastAsia"/>
                <w:kern w:val="0"/>
                <w:sz w:val="24"/>
                <w:szCs w:val="24"/>
              </w:rPr>
              <w:t>本年处理决定数量</w:t>
            </w:r>
          </w:p>
        </w:tc>
      </w:tr>
      <w:tr>
        <w:trPr>
          <w:trHeight w:val="51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adjustRightInd w:val="0"/>
              <w:snapToGrid w:val="0"/>
              <w:spacing w:line="260" w:lineRule="exact"/>
              <w:jc w:val="center"/>
              <w:rPr>
                <w:sz w:val="24"/>
                <w:szCs w:val="24"/>
              </w:rPr>
            </w:pPr>
            <w:r>
              <w:rPr>
                <w:rFonts w:ascii="宋体" w:cs="宋体" w:hint="eastAsia"/>
                <w:kern w:val="0"/>
                <w:sz w:val="24"/>
                <w:szCs w:val="24"/>
              </w:rPr>
              <w:t>行政许可</w:t>
            </w:r>
          </w:p>
        </w:tc>
        <w:tc>
          <w:tcPr>
            <w:tcW w:w="6275" w:type="dxa"/>
            <w:gridSpan w:val="3"/>
            <w:tcBorders>
              <w:top w:val="nil"/>
              <w:left w:val="nil"/>
              <w:bottom w:val="single" w:sz="8" w:space="0" w:color="auto"/>
              <w:right w:val="single" w:sz="8" w:space="0" w:color="auto"/>
            </w:tcBorders>
            <w:shd w:val="clear" w:color="auto" w:fill="auto"/>
            <w:tcMar>
              <w:left w:w="108" w:type="dxa"/>
              <w:right w:w="108" w:type="dxa"/>
            </w:tcMar>
            <w:vAlign w:val="center"/>
          </w:tcPr>
          <w:p>
            <w:pPr>
              <w:pStyle w:val="63"/>
              <w:jc w:val="center"/>
              <w:rPr>
                <w:rFonts w:eastAsia="方正仿宋_GBK" w:cs="宋体"/>
                <w:sz w:val="24"/>
                <w:szCs w:val="24"/>
              </w:rPr>
            </w:pPr>
            <w:r>
              <w:rPr>
                <w:rFonts w:eastAsia="方正仿宋_GBK" w:cs="宋体" w:hint="eastAsia"/>
                <w:sz w:val="24"/>
                <w:szCs w:val="24"/>
              </w:rPr>
              <w:t>0</w:t>
            </w:r>
          </w:p>
        </w:tc>
      </w:tr>
      <w:tr>
        <w:trPr>
          <w:trHeight w:val="406"/>
        </w:trPr>
        <w:tc>
          <w:tcPr>
            <w:tcW w:w="8995" w:type="dxa"/>
            <w:gridSpan w:val="4"/>
            <w:tcBorders>
              <w:top w:val="nil"/>
              <w:left w:val="single" w:sz="8" w:space="0" w:color="auto"/>
              <w:bottom w:val="single" w:sz="8" w:space="0" w:color="auto"/>
              <w:right w:val="single" w:sz="8" w:space="0" w:color="auto"/>
            </w:tcBorders>
            <w:shd w:val="clear" w:color="auto" w:fill="C6D9F1"/>
            <w:tcMar>
              <w:left w:w="108" w:type="dxa"/>
              <w:right w:w="108" w:type="dxa"/>
            </w:tcMar>
            <w:vAlign w:val="center"/>
          </w:tcPr>
          <w:p>
            <w:pPr>
              <w:pStyle w:val="28"/>
              <w:widowControl/>
              <w:jc w:val="center"/>
              <w:rPr>
                <w:sz w:val="24"/>
                <w:szCs w:val="24"/>
              </w:rPr>
            </w:pPr>
            <w:r>
              <w:rPr>
                <w:rFonts w:ascii="宋体" w:cs="宋体" w:hint="eastAsia"/>
                <w:kern w:val="0"/>
                <w:sz w:val="24"/>
                <w:szCs w:val="24"/>
              </w:rPr>
              <w:t>第二十条第（六）项</w:t>
            </w:r>
          </w:p>
        </w:tc>
      </w:tr>
      <w:tr>
        <w:trPr>
          <w:trHeight w:val="68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adjustRightInd w:val="0"/>
              <w:snapToGrid w:val="0"/>
              <w:spacing w:line="260" w:lineRule="exact"/>
              <w:jc w:val="center"/>
              <w:rPr>
                <w:sz w:val="24"/>
                <w:szCs w:val="24"/>
              </w:rPr>
            </w:pPr>
            <w:r>
              <w:rPr>
                <w:rFonts w:ascii="宋体" w:cs="宋体" w:hint="eastAsia"/>
                <w:kern w:val="0"/>
                <w:sz w:val="24"/>
                <w:szCs w:val="24"/>
              </w:rPr>
              <w:t>信息内容</w:t>
            </w:r>
          </w:p>
        </w:tc>
        <w:tc>
          <w:tcPr>
            <w:tcW w:w="6275" w:type="dxa"/>
            <w:gridSpan w:val="3"/>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55"/>
              <w:widowControl/>
              <w:adjustRightInd w:val="0"/>
              <w:snapToGrid w:val="0"/>
              <w:spacing w:line="260" w:lineRule="exact"/>
              <w:jc w:val="center"/>
              <w:rPr>
                <w:sz w:val="24"/>
                <w:szCs w:val="24"/>
              </w:rPr>
            </w:pPr>
            <w:r>
              <w:rPr>
                <w:rFonts w:ascii="宋体" w:cs="宋体" w:hint="eastAsia"/>
                <w:kern w:val="0"/>
                <w:sz w:val="24"/>
                <w:szCs w:val="24"/>
              </w:rPr>
              <w:t>本年处理决定数量</w:t>
            </w:r>
          </w:p>
        </w:tc>
      </w:tr>
      <w:tr>
        <w:trPr>
          <w:trHeight w:val="51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adjustRightInd w:val="0"/>
              <w:snapToGrid w:val="0"/>
              <w:spacing w:line="260" w:lineRule="exact"/>
              <w:jc w:val="center"/>
              <w:rPr>
                <w:sz w:val="24"/>
                <w:szCs w:val="24"/>
              </w:rPr>
            </w:pPr>
            <w:r>
              <w:rPr>
                <w:rFonts w:ascii="宋体" w:cs="宋体" w:hint="eastAsia"/>
                <w:kern w:val="0"/>
                <w:sz w:val="24"/>
                <w:szCs w:val="24"/>
              </w:rPr>
              <w:t>行政处罚</w:t>
            </w:r>
          </w:p>
        </w:tc>
        <w:tc>
          <w:tcPr>
            <w:tcW w:w="6275" w:type="dxa"/>
            <w:gridSpan w:val="3"/>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cs="宋体"/>
                <w:sz w:val="24"/>
                <w:szCs w:val="24"/>
              </w:rPr>
            </w:pPr>
            <w:r>
              <w:rPr>
                <w:rFonts w:eastAsia="方正仿宋_GBK" w:cs="宋体" w:hint="eastAsia"/>
                <w:sz w:val="24"/>
                <w:szCs w:val="24"/>
              </w:rPr>
              <w:t>0</w:t>
            </w:r>
          </w:p>
        </w:tc>
      </w:tr>
      <w:tr>
        <w:trPr>
          <w:trHeight w:val="51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adjustRightInd w:val="0"/>
              <w:snapToGrid w:val="0"/>
              <w:spacing w:line="260" w:lineRule="exact"/>
              <w:jc w:val="center"/>
              <w:rPr>
                <w:sz w:val="24"/>
                <w:szCs w:val="24"/>
              </w:rPr>
            </w:pPr>
            <w:r>
              <w:rPr>
                <w:rFonts w:ascii="宋体" w:cs="宋体" w:hint="eastAsia"/>
                <w:kern w:val="0"/>
                <w:sz w:val="24"/>
                <w:szCs w:val="24"/>
              </w:rPr>
              <w:t>行政强制</w:t>
            </w:r>
          </w:p>
        </w:tc>
        <w:tc>
          <w:tcPr>
            <w:tcW w:w="6275" w:type="dxa"/>
            <w:gridSpan w:val="3"/>
            <w:tcBorders>
              <w:top w:val="nil"/>
              <w:left w:val="nil"/>
              <w:bottom w:val="single" w:sz="8" w:space="0" w:color="auto"/>
              <w:right w:val="single" w:sz="8" w:space="0" w:color="auto"/>
            </w:tcBorders>
            <w:shd w:val="clear" w:color="auto" w:fill="auto"/>
            <w:tcMar>
              <w:left w:w="108" w:type="dxa"/>
              <w:right w:w="108" w:type="dxa"/>
            </w:tcMar>
            <w:vAlign w:val="center"/>
          </w:tcPr>
          <w:p>
            <w:pPr>
              <w:pStyle w:val="64"/>
              <w:jc w:val="center"/>
              <w:rPr>
                <w:rFonts w:eastAsia="方正仿宋_GBK" w:cs="宋体"/>
                <w:sz w:val="24"/>
                <w:szCs w:val="24"/>
              </w:rPr>
            </w:pPr>
            <w:r>
              <w:rPr>
                <w:rFonts w:eastAsia="方正仿宋_GBK" w:cs="宋体" w:hint="eastAsia"/>
                <w:sz w:val="24"/>
                <w:szCs w:val="24"/>
              </w:rPr>
              <w:t>0</w:t>
            </w:r>
          </w:p>
        </w:tc>
      </w:tr>
      <w:tr>
        <w:trPr>
          <w:trHeight w:val="474"/>
        </w:trPr>
        <w:tc>
          <w:tcPr>
            <w:tcW w:w="8995" w:type="dxa"/>
            <w:gridSpan w:val="4"/>
            <w:tcBorders>
              <w:top w:val="nil"/>
              <w:left w:val="single" w:sz="8" w:space="0" w:color="auto"/>
              <w:bottom w:val="single" w:sz="8" w:space="0" w:color="auto"/>
              <w:right w:val="single" w:sz="8" w:space="0" w:color="auto"/>
            </w:tcBorders>
            <w:shd w:val="clear" w:color="auto" w:fill="C6D9F1"/>
            <w:tcMar>
              <w:left w:w="108" w:type="dxa"/>
              <w:right w:w="108" w:type="dxa"/>
            </w:tcMar>
            <w:vAlign w:val="center"/>
          </w:tcPr>
          <w:p>
            <w:pPr>
              <w:pStyle w:val="28"/>
              <w:widowControl/>
              <w:jc w:val="center"/>
              <w:rPr>
                <w:sz w:val="24"/>
                <w:szCs w:val="24"/>
              </w:rPr>
            </w:pPr>
            <w:r>
              <w:rPr>
                <w:rFonts w:ascii="宋体" w:cs="宋体" w:hint="eastAsia"/>
                <w:kern w:val="0"/>
                <w:sz w:val="24"/>
                <w:szCs w:val="24"/>
              </w:rPr>
              <w:t>第二十条第（八）项</w:t>
            </w:r>
          </w:p>
        </w:tc>
      </w:tr>
      <w:tr>
        <w:trPr>
          <w:trHeight w:val="68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adjustRightInd w:val="0"/>
              <w:snapToGrid w:val="0"/>
              <w:spacing w:line="260" w:lineRule="exact"/>
              <w:jc w:val="center"/>
              <w:rPr>
                <w:sz w:val="24"/>
                <w:szCs w:val="24"/>
              </w:rPr>
            </w:pPr>
            <w:r>
              <w:rPr>
                <w:rFonts w:ascii="宋体" w:cs="宋体" w:hint="eastAsia"/>
                <w:kern w:val="0"/>
                <w:sz w:val="24"/>
                <w:szCs w:val="24"/>
              </w:rPr>
              <w:t>信息内容</w:t>
            </w:r>
          </w:p>
        </w:tc>
        <w:tc>
          <w:tcPr>
            <w:tcW w:w="6275" w:type="dxa"/>
            <w:gridSpan w:val="3"/>
            <w:tcBorders>
              <w:top w:val="nil"/>
              <w:left w:val="nil"/>
              <w:bottom w:val="single" w:sz="8" w:space="0" w:color="auto"/>
              <w:right w:val="single" w:sz="8" w:space="0" w:color="000000"/>
            </w:tcBorders>
            <w:shd w:val="clear" w:color="auto" w:fill="auto"/>
            <w:tcMar>
              <w:left w:w="108" w:type="dxa"/>
              <w:right w:w="108" w:type="dxa"/>
            </w:tcMar>
            <w:vAlign w:val="center"/>
          </w:tcPr>
          <w:p>
            <w:pPr>
              <w:pStyle w:val="59"/>
              <w:widowControl/>
              <w:adjustRightInd w:val="0"/>
              <w:snapToGrid w:val="0"/>
              <w:spacing w:line="260" w:lineRule="exact"/>
              <w:jc w:val="center"/>
              <w:rPr>
                <w:sz w:val="24"/>
                <w:szCs w:val="24"/>
              </w:rPr>
            </w:pPr>
            <w:r>
              <w:rPr>
                <w:rFonts w:ascii="宋体" w:cs="宋体" w:hint="eastAsia"/>
                <w:kern w:val="0"/>
                <w:sz w:val="24"/>
                <w:szCs w:val="24"/>
              </w:rPr>
              <w:t>本年收费金额（单位：万元）</w:t>
            </w:r>
          </w:p>
        </w:tc>
      </w:tr>
      <w:tr>
        <w:trPr>
          <w:trHeight w:val="51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adjustRightInd w:val="0"/>
              <w:snapToGrid w:val="0"/>
              <w:spacing w:line="260" w:lineRule="exact"/>
              <w:jc w:val="center"/>
            </w:pPr>
            <w:r>
              <w:rPr>
                <w:rFonts w:ascii="宋体" w:cs="宋体" w:hint="eastAsia"/>
                <w:kern w:val="0"/>
                <w:sz w:val="24"/>
                <w:szCs w:val="24"/>
              </w:rPr>
              <w:t>行政事业性收费</w:t>
            </w:r>
          </w:p>
        </w:tc>
        <w:tc>
          <w:tcPr>
            <w:tcW w:w="6275" w:type="dxa"/>
            <w:gridSpan w:val="3"/>
            <w:tcBorders>
              <w:top w:val="nil"/>
              <w:left w:val="nil"/>
              <w:bottom w:val="single" w:sz="8" w:space="0" w:color="auto"/>
              <w:right w:val="single" w:sz="8" w:space="0" w:color="000000"/>
            </w:tcBorders>
            <w:shd w:val="clear" w:color="auto" w:fill="auto"/>
            <w:tcMar>
              <w:left w:w="108" w:type="dxa"/>
              <w:right w:w="108" w:type="dxa"/>
            </w:tcMar>
            <w:vAlign w:val="center"/>
          </w:tcPr>
          <w:p>
            <w:pPr>
              <w:pStyle w:val="28"/>
              <w:jc w:val="center"/>
              <w:rPr>
                <w:rFonts w:eastAsia="方正仿宋_GBK" w:cs="宋体"/>
                <w:sz w:val="24"/>
                <w:szCs w:val="24"/>
              </w:rPr>
            </w:pPr>
            <w:r>
              <w:rPr>
                <w:rFonts w:eastAsia="方正仿宋_GBK" w:cs="宋体" w:hint="eastAsia"/>
                <w:sz w:val="24"/>
                <w:szCs w:val="24"/>
              </w:rPr>
              <w:t>0</w:t>
            </w:r>
          </w:p>
        </w:tc>
      </w:tr>
    </w:tbl>
    <w:p>
      <w:pPr>
        <w:pStyle w:val="16"/>
        <w:tabs>
          <w:tab w:val="center" w:pos="4153"/>
          <w:tab w:val="right" w:pos="8306"/>
        </w:tabs>
      </w:pPr>
    </w:p>
    <w:p>
      <w:pPr>
        <w:pStyle w:val="25"/>
        <w:widowControl/>
        <w:shd w:val="clear" w:color="auto" w:fill="FFFFFF"/>
        <w:adjustRightInd w:val="0"/>
        <w:snapToGrid w:val="0"/>
        <w:spacing w:beforeAutospacing="0" w:afterLines="50" w:after="218" w:afterAutospacing="0" w:line="560" w:lineRule="exact"/>
        <w:ind w:firstLineChars="200" w:firstLine="640"/>
        <w:jc w:val="both"/>
        <w:rPr>
          <w:rFonts w:ascii="方正黑体_GBK" w:eastAsia="方正黑体_GBK" w:cs="楷体_GB2312" w:hint="eastAsia"/>
          <w:bCs/>
          <w:sz w:val="32"/>
          <w:szCs w:val="32"/>
          <w:shd w:val="clear" w:color="auto" w:fill="FFFFFF"/>
        </w:rPr>
      </w:pPr>
      <w:r>
        <w:rPr>
          <w:rFonts w:ascii="方正黑体_GBK" w:eastAsia="方正黑体_GBK" w:cs="楷体_GB2312" w:hint="eastAsia"/>
          <w:bCs/>
          <w:sz w:val="32"/>
          <w:szCs w:val="32"/>
          <w:shd w:val="clear" w:color="auto" w:fill="FFFFFF"/>
        </w:rPr>
        <w:t>三、收到和处理政府信息公开申请情况</w:t>
      </w:r>
    </w:p>
    <w:tbl>
      <w:tblPr>
        <w:jc w:val="center"/>
        <w:tblW w:w="9071" w:type="dxa"/>
        <w:tblBorders>
          <w:top w:val="none" w:sz="0" w:space="0" w:color="auto"/>
          <w:left w:val="none" w:sz="0" w:space="0" w:color="auto"/>
          <w:bottom w:val="none" w:sz="0" w:space="0" w:color="auto"/>
          <w:right w:val="none" w:sz="0" w:space="0" w:color="auto"/>
          <w:insideH w:val="outset" w:sz="6" w:space="0" w:color="auto"/>
          <w:insideV w:val="outset" w:sz="6" w:space="0" w:color="auto"/>
        </w:tblBorders>
        <w:tblLayout w:type="fixed"/>
        <w:tblCellMar>
          <w:top w:w="0" w:type="dxa"/>
          <w:left w:w="0" w:type="dxa"/>
          <w:bottom w:w="0" w:type="dxa"/>
          <w:right w:w="0" w:type="dxa"/>
        </w:tblCellMar>
      </w:tblPr>
      <w:tblGrid>
        <w:gridCol w:w="696"/>
        <w:gridCol w:w="936"/>
        <w:gridCol w:w="2670"/>
        <w:gridCol w:w="635"/>
        <w:gridCol w:w="675"/>
        <w:gridCol w:w="750"/>
        <w:gridCol w:w="765"/>
        <w:gridCol w:w="765"/>
        <w:gridCol w:w="497"/>
        <w:gridCol w:w="682"/>
      </w:tblGrid>
      <w:tr>
        <w:trPr>
          <w:tblHeader/>
        </w:trPr>
        <w:tc>
          <w:tcPr>
            <w:tcW w:w="4302" w:type="dxa"/>
            <w:gridSpan w:val="3"/>
            <w:vMerge w:val="restart"/>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jc w:val="center"/>
            </w:pPr>
            <w:r>
              <w:rPr>
                <w:rFonts w:ascii="宋体" w:cs="宋体" w:hint="eastAsia"/>
                <w:kern w:val="0"/>
                <w:sz w:val="20"/>
                <w:szCs w:val="20"/>
              </w:rPr>
              <w:t>（本列数据的勾稽关系为：第一项加第二项之和，等于第三项加第四项之和）</w:t>
            </w:r>
          </w:p>
        </w:tc>
        <w:tc>
          <w:tcPr>
            <w:tcW w:w="4769" w:type="dxa"/>
            <w:gridSpan w:val="7"/>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pPr>
            <w:r>
              <w:rPr>
                <w:rFonts w:ascii="宋体" w:cs="宋体" w:hint="eastAsia"/>
                <w:kern w:val="0"/>
                <w:sz w:val="20"/>
                <w:szCs w:val="20"/>
              </w:rPr>
              <w:t>申请人情况</w:t>
            </w:r>
          </w:p>
        </w:tc>
      </w:tr>
      <w:tr>
        <w:trPr>
          <w:tblHeader/>
        </w:trPr>
        <w:tc>
          <w:tcPr>
            <w:tcW w:w="4302" w:type="dxa"/>
            <w:gridSpan w:val="3"/>
            <w:vMerge/>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635"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pPr>
            <w:r>
              <w:rPr>
                <w:rFonts w:ascii="宋体" w:cs="宋体" w:hint="eastAsia"/>
                <w:kern w:val="0"/>
                <w:sz w:val="20"/>
                <w:szCs w:val="20"/>
              </w:rPr>
              <w:t>自然人</w:t>
            </w:r>
          </w:p>
        </w:tc>
        <w:tc>
          <w:tcPr>
            <w:tcW w:w="3452" w:type="dxa"/>
            <w:gridSpan w:val="5"/>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pPr>
            <w:r>
              <w:rPr>
                <w:rFonts w:ascii="宋体" w:cs="宋体" w:hint="eastAsia"/>
                <w:kern w:val="0"/>
                <w:sz w:val="20"/>
                <w:szCs w:val="20"/>
              </w:rPr>
              <w:t>法人或其他组织</w:t>
            </w:r>
          </w:p>
        </w:tc>
        <w:tc>
          <w:tcPr>
            <w:tcW w:w="682"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pPr>
            <w:r>
              <w:rPr>
                <w:rFonts w:ascii="宋体" w:cs="宋体" w:hint="eastAsia"/>
                <w:kern w:val="0"/>
                <w:sz w:val="20"/>
                <w:szCs w:val="20"/>
              </w:rPr>
              <w:t>总计</w:t>
            </w:r>
          </w:p>
        </w:tc>
      </w:tr>
      <w:tr>
        <w:trPr>
          <w:trHeight w:val="649"/>
          <w:tblHeader/>
        </w:trPr>
        <w:tc>
          <w:tcPr>
            <w:tcW w:w="4302" w:type="dxa"/>
            <w:gridSpan w:val="3"/>
            <w:vMerge/>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635"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pPr>
            <w:r>
              <w:rPr>
                <w:rFonts w:ascii="宋体" w:cs="宋体" w:hint="eastAsia"/>
                <w:kern w:val="0"/>
                <w:sz w:val="20"/>
                <w:szCs w:val="20"/>
              </w:rPr>
              <w:t>商业企业</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pPr>
            <w:r>
              <w:rPr>
                <w:rFonts w:ascii="宋体" w:cs="宋体" w:hint="eastAsia"/>
                <w:kern w:val="0"/>
                <w:sz w:val="20"/>
                <w:szCs w:val="20"/>
              </w:rPr>
              <w:t>科研机构</w:t>
            </w:r>
          </w:p>
        </w:tc>
        <w:tc>
          <w:tcPr>
            <w:tcW w:w="76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pPr>
            <w:r>
              <w:rPr>
                <w:rFonts w:ascii="宋体" w:cs="宋体" w:hint="eastAsia"/>
                <w:kern w:val="0"/>
                <w:sz w:val="20"/>
                <w:szCs w:val="20"/>
              </w:rPr>
              <w:t>社会公益组织</w:t>
            </w:r>
          </w:p>
        </w:tc>
        <w:tc>
          <w:tcPr>
            <w:tcW w:w="76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pPr>
            <w:r>
              <w:rPr>
                <w:rFonts w:ascii="宋体" w:cs="宋体" w:hint="eastAsia"/>
                <w:kern w:val="0"/>
                <w:sz w:val="20"/>
                <w:szCs w:val="20"/>
              </w:rPr>
              <w:t>法律服务机构</w:t>
            </w:r>
          </w:p>
        </w:tc>
        <w:tc>
          <w:tcPr>
            <w:tcW w:w="497"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pPr>
            <w:r>
              <w:rPr>
                <w:rFonts w:ascii="宋体" w:cs="宋体" w:hint="eastAsia"/>
                <w:kern w:val="0"/>
                <w:sz w:val="20"/>
                <w:szCs w:val="20"/>
              </w:rPr>
              <w:t>其他</w:t>
            </w:r>
          </w:p>
        </w:tc>
        <w:tc>
          <w:tcPr>
            <w:tcW w:w="682"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tc>
      </w:tr>
      <w:tr>
        <w:tc>
          <w:tcPr>
            <w:tcW w:w="4302" w:type="dxa"/>
            <w:gridSpan w:val="3"/>
            <w:tcBorders>
              <w:top w:val="nil"/>
              <w:left w:val="single" w:sz="8" w:space="0" w:color="auto"/>
              <w:bottom w:val="single" w:sz="8" w:space="0" w:color="auto"/>
              <w:right w:val="single" w:sz="8" w:space="0" w:color="auto"/>
            </w:tcBorders>
            <w:shd w:val="clear" w:color="auto" w:fill="auto"/>
            <w:tcMar>
              <w:left w:w="108" w:type="dxa"/>
              <w:right w:w="108" w:type="dxa"/>
            </w:tcMar>
          </w:tcPr>
          <w:p>
            <w:pPr>
              <w:pStyle w:val="28"/>
              <w:widowControl/>
              <w:jc w:val="left"/>
              <w:rPr>
                <w:sz w:val="24"/>
                <w:szCs w:val="24"/>
              </w:rPr>
            </w:pPr>
            <w:r>
              <w:rPr>
                <w:rFonts w:ascii="宋体" w:cs="宋体" w:hint="eastAsia"/>
                <w:kern w:val="0"/>
                <w:sz w:val="24"/>
                <w:szCs w:val="24"/>
              </w:rPr>
              <w:t>一、本年新收政府信息公开申请数量</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1</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1</w:t>
            </w:r>
          </w:p>
        </w:tc>
      </w:tr>
      <w:tr>
        <w:tc>
          <w:tcPr>
            <w:tcW w:w="4302" w:type="dxa"/>
            <w:gridSpan w:val="3"/>
            <w:tcBorders>
              <w:top w:val="nil"/>
              <w:left w:val="single" w:sz="8" w:space="0" w:color="auto"/>
              <w:bottom w:val="single" w:sz="8" w:space="0" w:color="auto"/>
              <w:right w:val="single" w:sz="8" w:space="0" w:color="auto"/>
            </w:tcBorders>
            <w:shd w:val="clear" w:color="auto" w:fill="auto"/>
            <w:tcMar>
              <w:left w:w="108" w:type="dxa"/>
              <w:right w:w="108" w:type="dxa"/>
            </w:tcMar>
          </w:tcPr>
          <w:p>
            <w:pPr>
              <w:pStyle w:val="28"/>
              <w:widowControl/>
              <w:jc w:val="left"/>
              <w:rPr>
                <w:sz w:val="24"/>
                <w:szCs w:val="24"/>
              </w:rPr>
            </w:pPr>
            <w:r>
              <w:rPr>
                <w:rFonts w:ascii="宋体" w:cs="宋体" w:hint="eastAsia"/>
                <w:kern w:val="0"/>
                <w:sz w:val="24"/>
                <w:szCs w:val="24"/>
              </w:rPr>
              <w:t>二、上年结转政府信息公开申请数量</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r>
      <w:tr>
        <w:tc>
          <w:tcPr>
            <w:tcW w:w="696" w:type="dxa"/>
            <w:vMerge w:val="restart"/>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三、本年度办理结果</w:t>
            </w:r>
          </w:p>
        </w:tc>
        <w:tc>
          <w:tcPr>
            <w:tcW w:w="3606"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jc w:val="left"/>
              <w:rPr>
                <w:sz w:val="24"/>
                <w:szCs w:val="24"/>
              </w:rPr>
            </w:pPr>
            <w:r>
              <w:rPr>
                <w:rFonts w:ascii="楷体" w:eastAsia="楷体" w:cs="楷体" w:hint="eastAsia"/>
                <w:kern w:val="0"/>
                <w:sz w:val="24"/>
                <w:szCs w:val="24"/>
              </w:rPr>
              <w:t>（一）予以公开</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3606"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jc w:val="left"/>
              <w:rPr>
                <w:sz w:val="24"/>
                <w:szCs w:val="24"/>
              </w:rPr>
            </w:pPr>
            <w:r>
              <w:rPr>
                <w:rFonts w:ascii="楷体" w:eastAsia="楷体" w:cs="楷体" w:hint="eastAsia"/>
                <w:kern w:val="0"/>
                <w:sz w:val="24"/>
                <w:szCs w:val="24"/>
              </w:rPr>
              <w:t>（二）部分公开（区分处理的，只计这一情形，不计其他情形）</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rPr>
                <w:sz w:val="24"/>
                <w:szCs w:val="24"/>
              </w:rPr>
            </w:pPr>
            <w:r>
              <w:rPr>
                <w:rFonts w:ascii="楷体" w:eastAsia="楷体" w:cs="楷体" w:hint="eastAsia"/>
                <w:kern w:val="0"/>
                <w:sz w:val="24"/>
                <w:szCs w:val="24"/>
              </w:rPr>
              <w:t>（三）不予公开</w:t>
            </w: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rPr>
                <w:sz w:val="24"/>
                <w:szCs w:val="24"/>
              </w:rPr>
            </w:pPr>
            <w:r>
              <w:rPr>
                <w:rFonts w:ascii="楷体" w:eastAsia="楷体" w:cs="楷体" w:hint="eastAsia"/>
                <w:kern w:val="0"/>
                <w:sz w:val="24"/>
                <w:szCs w:val="24"/>
              </w:rPr>
              <w:t>1.属于国家秘密</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rPr>
                <w:sz w:val="24"/>
                <w:szCs w:val="24"/>
              </w:rPr>
            </w:pPr>
            <w:r>
              <w:rPr>
                <w:rFonts w:ascii="楷体" w:eastAsia="楷体" w:cs="楷体" w:hint="eastAsia"/>
                <w:kern w:val="0"/>
                <w:sz w:val="24"/>
                <w:szCs w:val="24"/>
              </w:rPr>
              <w:t>2.其他法律行政法规禁止公开</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rPr>
                <w:sz w:val="24"/>
                <w:szCs w:val="24"/>
              </w:rPr>
            </w:pPr>
            <w:r>
              <w:rPr>
                <w:rFonts w:ascii="楷体" w:eastAsia="楷体" w:cs="楷体" w:hint="eastAsia"/>
                <w:kern w:val="0"/>
                <w:sz w:val="24"/>
                <w:szCs w:val="24"/>
              </w:rPr>
              <w:t>3.危及“三安全一稳定”</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rPr>
                <w:sz w:val="24"/>
                <w:szCs w:val="24"/>
              </w:rPr>
            </w:pPr>
            <w:r>
              <w:rPr>
                <w:rFonts w:ascii="楷体" w:eastAsia="楷体" w:cs="楷体" w:hint="eastAsia"/>
                <w:kern w:val="0"/>
                <w:sz w:val="24"/>
                <w:szCs w:val="24"/>
              </w:rPr>
              <w:t>4.保护第三方合法权益</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rPr>
                <w:sz w:val="24"/>
                <w:szCs w:val="24"/>
              </w:rPr>
            </w:pPr>
            <w:r>
              <w:rPr>
                <w:rFonts w:ascii="楷体" w:eastAsia="楷体" w:cs="楷体" w:hint="eastAsia"/>
                <w:kern w:val="0"/>
                <w:sz w:val="24"/>
                <w:szCs w:val="24"/>
              </w:rPr>
              <w:t>5.属于三类内部事务信息</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rPr>
                <w:sz w:val="24"/>
                <w:szCs w:val="24"/>
              </w:rPr>
            </w:pPr>
            <w:r>
              <w:rPr>
                <w:rFonts w:ascii="楷体" w:eastAsia="楷体" w:cs="楷体" w:hint="eastAsia"/>
                <w:kern w:val="0"/>
                <w:sz w:val="24"/>
                <w:szCs w:val="24"/>
              </w:rPr>
              <w:t>6.属于四类过程性信息</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rPr>
                <w:sz w:val="24"/>
                <w:szCs w:val="24"/>
              </w:rPr>
            </w:pPr>
            <w:r>
              <w:rPr>
                <w:rFonts w:ascii="楷体" w:eastAsia="楷体" w:cs="楷体" w:hint="eastAsia"/>
                <w:kern w:val="0"/>
                <w:sz w:val="24"/>
                <w:szCs w:val="24"/>
              </w:rPr>
              <w:t>7.属于行政执法案卷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rPr>
                <w:sz w:val="24"/>
                <w:szCs w:val="24"/>
              </w:rPr>
            </w:pPr>
            <w:r>
              <w:rPr>
                <w:rFonts w:ascii="楷体" w:eastAsia="楷体" w:cs="楷体" w:hint="eastAsia"/>
                <w:kern w:val="0"/>
                <w:sz w:val="24"/>
                <w:szCs w:val="24"/>
              </w:rPr>
              <w:t>8.属于行政查询事项</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rPr>
                <w:sz w:val="24"/>
                <w:szCs w:val="24"/>
              </w:rPr>
            </w:pPr>
            <w:r>
              <w:rPr>
                <w:rFonts w:ascii="楷体" w:eastAsia="楷体" w:cs="楷体" w:hint="eastAsia"/>
                <w:kern w:val="0"/>
                <w:sz w:val="24"/>
                <w:szCs w:val="24"/>
              </w:rPr>
              <w:t>（四）无法提供</w:t>
            </w: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rPr>
                <w:sz w:val="24"/>
                <w:szCs w:val="24"/>
              </w:rPr>
            </w:pPr>
            <w:r>
              <w:rPr>
                <w:rFonts w:ascii="楷体" w:eastAsia="楷体" w:cs="楷体" w:hint="eastAsia"/>
                <w:kern w:val="0"/>
                <w:sz w:val="24"/>
                <w:szCs w:val="24"/>
              </w:rPr>
              <w:t>1.本机关不掌握相关政府信息</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1</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1</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rPr>
                <w:sz w:val="24"/>
                <w:szCs w:val="24"/>
              </w:rPr>
            </w:pPr>
            <w:r>
              <w:rPr>
                <w:rFonts w:ascii="楷体" w:eastAsia="楷体" w:cs="楷体" w:hint="eastAsia"/>
                <w:kern w:val="0"/>
                <w:sz w:val="24"/>
                <w:szCs w:val="24"/>
              </w:rPr>
              <w:t>2.没有现成信息需要另行制作</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rPr>
                <w:sz w:val="24"/>
                <w:szCs w:val="24"/>
              </w:rPr>
            </w:pPr>
            <w:r>
              <w:rPr>
                <w:rFonts w:ascii="楷体" w:eastAsia="楷体" w:cs="楷体" w:hint="eastAsia"/>
                <w:kern w:val="0"/>
                <w:sz w:val="24"/>
                <w:szCs w:val="24"/>
              </w:rPr>
              <w:t>3.补正后申请内容仍不明确</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rPr>
                <w:sz w:val="24"/>
                <w:szCs w:val="24"/>
              </w:rPr>
            </w:pPr>
            <w:r>
              <w:rPr>
                <w:rFonts w:ascii="楷体" w:eastAsia="楷体" w:cs="楷体" w:hint="eastAsia"/>
                <w:kern w:val="0"/>
                <w:sz w:val="24"/>
                <w:szCs w:val="24"/>
              </w:rPr>
              <w:t>（五）不予处理</w:t>
            </w: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rPr>
                <w:sz w:val="24"/>
                <w:szCs w:val="24"/>
              </w:rPr>
            </w:pPr>
            <w:r>
              <w:rPr>
                <w:rFonts w:ascii="楷体" w:eastAsia="楷体" w:cs="楷体" w:hint="eastAsia"/>
                <w:kern w:val="0"/>
                <w:sz w:val="24"/>
                <w:szCs w:val="24"/>
              </w:rPr>
              <w:t>1.信访举报投诉类申请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rPr>
                <w:sz w:val="24"/>
                <w:szCs w:val="24"/>
              </w:rPr>
            </w:pPr>
            <w:r>
              <w:rPr>
                <w:rFonts w:ascii="楷体" w:eastAsia="楷体" w:cs="楷体" w:hint="eastAsia"/>
                <w:kern w:val="0"/>
                <w:sz w:val="24"/>
                <w:szCs w:val="24"/>
              </w:rPr>
              <w:t>2.重复申请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rPr>
                <w:sz w:val="24"/>
                <w:szCs w:val="24"/>
              </w:rPr>
            </w:pPr>
            <w:r>
              <w:rPr>
                <w:rFonts w:ascii="楷体" w:eastAsia="楷体" w:cs="楷体" w:hint="eastAsia"/>
                <w:kern w:val="0"/>
                <w:sz w:val="24"/>
                <w:szCs w:val="24"/>
              </w:rPr>
              <w:t>3.要求提供公开出版物</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r>
      <w:tr>
        <w:trPr>
          <w:trHeight w:val="810"/>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rPr>
                <w:sz w:val="24"/>
                <w:szCs w:val="24"/>
              </w:rPr>
            </w:pPr>
            <w:r>
              <w:rPr>
                <w:rFonts w:ascii="楷体" w:eastAsia="楷体" w:cs="楷体" w:hint="eastAsia"/>
                <w:kern w:val="0"/>
                <w:sz w:val="24"/>
                <w:szCs w:val="24"/>
              </w:rPr>
              <w:t>4.无正当理由大量反复申请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rPr>
                <w:sz w:val="24"/>
                <w:szCs w:val="24"/>
              </w:rPr>
            </w:pPr>
            <w:r>
              <w:rPr>
                <w:rFonts w:ascii="楷体" w:eastAsia="楷体" w:cs="楷体" w:hint="eastAsia"/>
                <w:kern w:val="0"/>
                <w:sz w:val="24"/>
                <w:szCs w:val="24"/>
              </w:rPr>
              <w:t>5.要求行政机关确认或重新出具已获取信息</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r>
      <w:tr>
        <w:trPr>
          <w:trHeight w:val="567"/>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rPr>
                <w:sz w:val="24"/>
                <w:szCs w:val="24"/>
              </w:rPr>
            </w:pPr>
            <w:r>
              <w:rPr>
                <w:rFonts w:ascii="楷体" w:eastAsia="楷体" w:cs="楷体" w:hint="eastAsia"/>
                <w:kern w:val="0"/>
                <w:sz w:val="24"/>
                <w:szCs w:val="24"/>
              </w:rPr>
              <w:t>（六）其他处理</w:t>
            </w:r>
          </w:p>
        </w:tc>
        <w:tc>
          <w:tcPr>
            <w:tcW w:w="2670" w:type="dxa"/>
            <w:tcBorders>
              <w:top w:val="nil"/>
              <w:left w:val="single" w:sz="8" w:space="0" w:color="auto"/>
              <w:bottom w:val="single" w:sz="8" w:space="0" w:color="auto"/>
              <w:right w:val="single" w:sz="8" w:space="0" w:color="auto"/>
            </w:tcBorders>
            <w:shd w:val="clear" w:color="auto" w:fill="auto"/>
          </w:tcPr>
          <w:p>
            <w:pPr>
              <w:pStyle w:val="28"/>
              <w:widowControl/>
              <w:rPr>
                <w:rFonts w:ascii="楷体" w:eastAsia="楷体" w:cs="楷体" w:hint="eastAsia"/>
                <w:kern w:val="0"/>
                <w:sz w:val="24"/>
                <w:szCs w:val="24"/>
              </w:rPr>
            </w:pPr>
            <w:r>
              <w:rPr>
                <w:rFonts w:ascii="楷体" w:eastAsia="楷体" w:cs="楷体" w:hint="eastAsia"/>
                <w:kern w:val="0"/>
                <w:sz w:val="24"/>
                <w:szCs w:val="24"/>
              </w:rPr>
              <w:t>1.申请人无正当理由逾期不补正、行政机关不再处理其政府信息公开申请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r>
      <w:tr>
        <w:trPr>
          <w:trHeight w:val="567"/>
        </w:trPr>
        <w:tc>
          <w:tcPr>
            <w:tcW w:w="696" w:type="dxa"/>
            <w:vMerge/>
            <w:tcBorders>
              <w:top w:val="nil"/>
              <w:left w:val="single" w:sz="8" w:space="0" w:color="auto"/>
              <w:bottom w:val="single" w:sz="8" w:space="0" w:color="auto"/>
              <w:right w:val="single" w:sz="8" w:space="0" w:color="auto"/>
            </w:tcBorders>
            <w:shd w:val="clear" w:color="auto" w:fill="auto"/>
            <w:vAlign w:val="center"/>
          </w:tcPr>
          <w:p/>
        </w:tc>
        <w:tc>
          <w:tcPr>
            <w:tcW w:w="936" w:type="dxa"/>
            <w:vMerge/>
            <w:tcBorders>
              <w:top w:val="nil"/>
              <w:left w:val="nil"/>
              <w:bottom w:val="single" w:sz="8" w:space="0" w:color="auto"/>
              <w:right w:val="single" w:sz="8" w:space="0" w:color="auto"/>
            </w:tcBorders>
            <w:shd w:val="clear" w:color="auto" w:fill="auto"/>
            <w:vAlign w:val="center"/>
          </w:tcPr>
          <w:p/>
        </w:tc>
        <w:tc>
          <w:tcPr>
            <w:tcW w:w="2670" w:type="dxa"/>
            <w:tcBorders>
              <w:top w:val="nil"/>
              <w:left w:val="single" w:sz="8" w:space="0" w:color="auto"/>
              <w:bottom w:val="single" w:sz="8" w:space="0" w:color="auto"/>
              <w:right w:val="single" w:sz="8" w:space="0" w:color="auto"/>
            </w:tcBorders>
            <w:shd w:val="clear" w:color="auto" w:fill="auto"/>
          </w:tcPr>
          <w:p>
            <w:pPr>
              <w:pStyle w:val="28"/>
              <w:widowControl/>
              <w:rPr>
                <w:rFonts w:ascii="楷体" w:eastAsia="楷体" w:cs="楷体" w:hint="eastAsia"/>
                <w:kern w:val="0"/>
                <w:sz w:val="24"/>
                <w:szCs w:val="24"/>
              </w:rPr>
            </w:pPr>
            <w:r>
              <w:rPr>
                <w:rFonts w:ascii="楷体" w:eastAsia="楷体" w:cs="楷体" w:hint="eastAsia"/>
                <w:kern w:val="0"/>
                <w:sz w:val="24"/>
                <w:szCs w:val="24"/>
              </w:rPr>
              <w:t>2.申请人逾期未按收费通知要求缴纳费用、行政机关不再处理其政府信息公开申请</w:t>
            </w:r>
          </w:p>
        </w:tc>
        <w:tc>
          <w:tcPr>
            <w:tcW w:w="635" w:type="dxa"/>
            <w:tcBorders>
              <w:top w:val="nil"/>
              <w:left w:val="nil"/>
              <w:bottom w:val="single" w:sz="8" w:space="0" w:color="auto"/>
              <w:right w:val="single" w:sz="8" w:space="0" w:color="auto"/>
            </w:tcBorders>
            <w:shd w:val="clear" w:color="auto" w:fill="auto"/>
            <w:vAlign w:val="center"/>
          </w:tcPr>
          <w:p>
            <w:pPr>
              <w:pStyle w:val="28"/>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vAlign w:val="center"/>
          </w:tcPr>
          <w:p>
            <w:pPr>
              <w:pStyle w:val="28"/>
              <w:jc w:val="center"/>
              <w:rPr>
                <w:rFonts w:eastAsia="方正仿宋_GBK"/>
                <w:sz w:val="24"/>
                <w:szCs w:val="24"/>
              </w:rPr>
            </w:pPr>
            <w:r>
              <w:rPr>
                <w:rFonts w:eastAsia="方正仿宋_GBK" w:hint="eastAsia"/>
                <w:sz w:val="24"/>
                <w:szCs w:val="24"/>
              </w:rPr>
              <w:t>0</w:t>
            </w:r>
          </w:p>
        </w:tc>
      </w:tr>
      <w:tr>
        <w:trPr>
          <w:trHeight w:val="567"/>
        </w:trPr>
        <w:tc>
          <w:tcPr>
            <w:tcW w:w="696" w:type="dxa"/>
            <w:vMerge/>
            <w:tcBorders>
              <w:top w:val="nil"/>
              <w:left w:val="single" w:sz="8" w:space="0" w:color="auto"/>
              <w:bottom w:val="single" w:sz="8" w:space="0" w:color="auto"/>
              <w:right w:val="single" w:sz="8" w:space="0" w:color="auto"/>
            </w:tcBorders>
            <w:shd w:val="clear" w:color="auto" w:fill="auto"/>
            <w:vAlign w:val="center"/>
          </w:tcPr>
          <w:p/>
        </w:tc>
        <w:tc>
          <w:tcPr>
            <w:tcW w:w="936" w:type="dxa"/>
            <w:vMerge/>
            <w:tcBorders>
              <w:top w:val="nil"/>
              <w:left w:val="nil"/>
              <w:bottom w:val="single" w:sz="8" w:space="0" w:color="auto"/>
              <w:right w:val="single" w:sz="8" w:space="0" w:color="auto"/>
            </w:tcBorders>
            <w:shd w:val="clear" w:color="auto" w:fill="auto"/>
            <w:vAlign w:val="center"/>
          </w:tcPr>
          <w:p/>
        </w:tc>
        <w:tc>
          <w:tcPr>
            <w:tcW w:w="2670" w:type="dxa"/>
            <w:tcBorders>
              <w:top w:val="nil"/>
              <w:left w:val="single" w:sz="8" w:space="0" w:color="auto"/>
              <w:bottom w:val="single" w:sz="8" w:space="0" w:color="auto"/>
              <w:right w:val="single" w:sz="8" w:space="0" w:color="auto"/>
            </w:tcBorders>
            <w:shd w:val="clear" w:color="auto" w:fill="auto"/>
          </w:tcPr>
          <w:p>
            <w:pPr>
              <w:pStyle w:val="28"/>
              <w:widowControl/>
              <w:rPr>
                <w:rFonts w:ascii="楷体" w:eastAsia="楷体" w:cs="楷体" w:hint="eastAsia"/>
                <w:kern w:val="0"/>
                <w:sz w:val="24"/>
                <w:szCs w:val="24"/>
              </w:rPr>
            </w:pPr>
            <w:r>
              <w:rPr>
                <w:rFonts w:ascii="楷体" w:eastAsia="楷体" w:cs="楷体" w:hint="eastAsia"/>
                <w:kern w:val="0"/>
                <w:sz w:val="24"/>
                <w:szCs w:val="24"/>
              </w:rPr>
              <w:t>3.咨询事项，指引咨询渠道</w:t>
            </w:r>
          </w:p>
        </w:tc>
        <w:tc>
          <w:tcPr>
            <w:tcW w:w="635" w:type="dxa"/>
            <w:tcBorders>
              <w:top w:val="nil"/>
              <w:left w:val="nil"/>
              <w:bottom w:val="single" w:sz="8" w:space="0" w:color="auto"/>
              <w:right w:val="single" w:sz="8" w:space="0" w:color="auto"/>
            </w:tcBorders>
            <w:shd w:val="clear" w:color="auto" w:fill="auto"/>
            <w:vAlign w:val="center"/>
          </w:tcPr>
          <w:p>
            <w:pPr>
              <w:pStyle w:val="28"/>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vAlign w:val="center"/>
          </w:tcPr>
          <w:p>
            <w:pPr>
              <w:pStyle w:val="28"/>
              <w:jc w:val="center"/>
              <w:rPr>
                <w:rFonts w:eastAsia="方正仿宋_GBK"/>
                <w:sz w:val="24"/>
                <w:szCs w:val="24"/>
              </w:rPr>
            </w:pPr>
            <w:r>
              <w:rPr>
                <w:rFonts w:eastAsia="方正仿宋_GBK" w:hint="eastAsia"/>
                <w:sz w:val="24"/>
                <w:szCs w:val="24"/>
              </w:rPr>
              <w:t>0</w:t>
            </w:r>
          </w:p>
        </w:tc>
      </w:tr>
      <w:tr>
        <w:trPr>
          <w:trHeight w:val="567"/>
        </w:trPr>
        <w:tc>
          <w:tcPr>
            <w:tcW w:w="696" w:type="dxa"/>
            <w:vMerge/>
            <w:tcBorders>
              <w:top w:val="nil"/>
              <w:left w:val="single" w:sz="8" w:space="0" w:color="auto"/>
              <w:bottom w:val="single" w:sz="8" w:space="0" w:color="auto"/>
              <w:right w:val="single" w:sz="8" w:space="0" w:color="auto"/>
            </w:tcBorders>
            <w:shd w:val="clear" w:color="auto" w:fill="auto"/>
            <w:vAlign w:val="center"/>
          </w:tcPr>
          <w:p/>
        </w:tc>
        <w:tc>
          <w:tcPr>
            <w:tcW w:w="936" w:type="dxa"/>
            <w:vMerge/>
            <w:tcBorders>
              <w:top w:val="nil"/>
              <w:left w:val="nil"/>
              <w:bottom w:val="single" w:sz="8" w:space="0" w:color="auto"/>
              <w:right w:val="single" w:sz="8" w:space="0" w:color="auto"/>
            </w:tcBorders>
            <w:shd w:val="clear" w:color="auto" w:fill="auto"/>
            <w:vAlign w:val="center"/>
          </w:tcPr>
          <w:p/>
        </w:tc>
        <w:tc>
          <w:tcPr>
            <w:tcW w:w="2670" w:type="dxa"/>
            <w:tcBorders>
              <w:top w:val="nil"/>
              <w:left w:val="single" w:sz="8" w:space="0" w:color="auto"/>
              <w:bottom w:val="single" w:sz="8" w:space="0" w:color="auto"/>
              <w:right w:val="single" w:sz="8" w:space="0" w:color="auto"/>
            </w:tcBorders>
            <w:shd w:val="clear" w:color="auto" w:fill="auto"/>
          </w:tcPr>
          <w:p>
            <w:pPr>
              <w:pStyle w:val="28"/>
              <w:widowControl/>
              <w:rPr>
                <w:rFonts w:ascii="楷体" w:eastAsia="楷体" w:cs="楷体" w:hint="eastAsia"/>
                <w:kern w:val="0"/>
                <w:sz w:val="24"/>
                <w:szCs w:val="24"/>
              </w:rPr>
            </w:pPr>
            <w:r>
              <w:rPr>
                <w:rFonts w:ascii="楷体" w:eastAsia="楷体" w:cs="楷体" w:hint="eastAsia"/>
                <w:kern w:val="0"/>
                <w:sz w:val="24"/>
                <w:szCs w:val="24"/>
              </w:rPr>
              <w:t>4.申请人撤销申请</w:t>
            </w:r>
          </w:p>
        </w:tc>
        <w:tc>
          <w:tcPr>
            <w:tcW w:w="635" w:type="dxa"/>
            <w:tcBorders>
              <w:top w:val="nil"/>
              <w:left w:val="nil"/>
              <w:bottom w:val="single" w:sz="8" w:space="0" w:color="auto"/>
              <w:right w:val="single" w:sz="8" w:space="0" w:color="auto"/>
            </w:tcBorders>
            <w:shd w:val="clear" w:color="auto" w:fill="auto"/>
            <w:vAlign w:val="center"/>
          </w:tcPr>
          <w:p>
            <w:pPr>
              <w:pStyle w:val="28"/>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vAlign w:val="center"/>
          </w:tcPr>
          <w:p>
            <w:pPr>
              <w:pStyle w:val="28"/>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3606"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rPr>
                <w:sz w:val="24"/>
                <w:szCs w:val="24"/>
              </w:rPr>
            </w:pPr>
            <w:r>
              <w:rPr>
                <w:rFonts w:ascii="楷体" w:eastAsia="楷体" w:cs="楷体" w:hint="eastAsia"/>
                <w:kern w:val="0"/>
                <w:sz w:val="24"/>
                <w:szCs w:val="24"/>
              </w:rPr>
              <w:t>（七）总计</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1</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1</w:t>
            </w:r>
          </w:p>
        </w:tc>
      </w:tr>
      <w:tr>
        <w:tc>
          <w:tcPr>
            <w:tcW w:w="4302" w:type="dxa"/>
            <w:gridSpan w:val="3"/>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jc w:val="left"/>
            </w:pPr>
            <w:r>
              <w:rPr>
                <w:rFonts w:ascii="宋体" w:cs="宋体" w:hint="eastAsia"/>
                <w:kern w:val="0"/>
                <w:sz w:val="24"/>
                <w:szCs w:val="24"/>
              </w:rPr>
              <w:t>四、结转下年度继续办理</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r>
    </w:tbl>
    <w:p>
      <w:pPr>
        <w:pStyle w:val="25"/>
        <w:widowControl/>
        <w:shd w:val="clear" w:color="auto" w:fill="FFFFFF"/>
        <w:spacing w:beforeLines="50" w:before="218" w:beforeAutospacing="0" w:after="120" w:afterAutospacing="0" w:line="560" w:lineRule="exact"/>
        <w:ind w:left="0" w:firstLineChars="200" w:firstLine="640"/>
        <w:jc w:val="both"/>
        <w:rPr>
          <w:rFonts w:ascii="宋体" w:cs="宋体" w:hint="eastAsia"/>
          <w:szCs w:val="24"/>
        </w:rPr>
      </w:pPr>
      <w:r>
        <w:rPr>
          <w:rFonts w:ascii="方正黑体_GBK" w:eastAsia="方正黑体_GBK" w:cs="楷体_GB2312" w:hint="eastAsia"/>
          <w:bCs/>
          <w:sz w:val="32"/>
          <w:szCs w:val="32"/>
          <w:shd w:val="clear" w:color="auto" w:fill="FFFFFF"/>
        </w:rPr>
        <w:t>四、政府信息公开行政复议、行政诉讼情况</w:t>
      </w:r>
    </w:p>
    <w:tbl>
      <w:tblPr>
        <w:jc w:val="center"/>
        <w:tblW w:w="9071" w:type="dxa"/>
        <w:tblBorders>
          <w:top w:val="none" w:sz="0" w:space="0" w:color="auto"/>
          <w:left w:val="none" w:sz="0" w:space="0" w:color="auto"/>
          <w:bottom w:val="none" w:sz="0" w:space="0" w:color="auto"/>
          <w:right w:val="none" w:sz="0" w:space="0" w:color="auto"/>
          <w:insideH w:val="outset" w:sz="6" w:space="0" w:color="auto"/>
          <w:insideV w:val="outset" w:sz="6" w:space="0" w:color="auto"/>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c>
          <w:tcPr>
            <w:tcW w:w="3074" w:type="dxa"/>
            <w:gridSpan w:val="5"/>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行政复议</w:t>
            </w:r>
          </w:p>
        </w:tc>
        <w:tc>
          <w:tcPr>
            <w:tcW w:w="5997" w:type="dxa"/>
            <w:gridSpan w:val="10"/>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行政诉讼</w:t>
            </w:r>
          </w:p>
        </w:tc>
      </w:tr>
      <w:tr>
        <w:tc>
          <w:tcPr>
            <w:tcW w:w="604" w:type="dxa"/>
            <w:vMerge w:val="restart"/>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结果维持</w:t>
            </w:r>
          </w:p>
        </w:tc>
        <w:tc>
          <w:tcPr>
            <w:tcW w:w="604"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结果纠正</w:t>
            </w:r>
          </w:p>
        </w:tc>
        <w:tc>
          <w:tcPr>
            <w:tcW w:w="604"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其他结果</w:t>
            </w:r>
          </w:p>
        </w:tc>
        <w:tc>
          <w:tcPr>
            <w:tcW w:w="604"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尚未审结</w:t>
            </w:r>
          </w:p>
        </w:tc>
        <w:tc>
          <w:tcPr>
            <w:tcW w:w="658"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总计</w:t>
            </w:r>
          </w:p>
        </w:tc>
        <w:tc>
          <w:tcPr>
            <w:tcW w:w="2970" w:type="dxa"/>
            <w:gridSpan w:val="5"/>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未经复议直接起诉</w:t>
            </w:r>
          </w:p>
        </w:tc>
        <w:tc>
          <w:tcPr>
            <w:tcW w:w="3027" w:type="dxa"/>
            <w:gridSpan w:val="5"/>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复议后起诉</w:t>
            </w:r>
          </w:p>
        </w:tc>
      </w:tr>
      <w:tr>
        <w:tc>
          <w:tcPr>
            <w:tcW w:w="604"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604"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604"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tc>
        <w:tc>
          <w:tcPr>
            <w:tcW w:w="604"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tc>
        <w:tc>
          <w:tcPr>
            <w:tcW w:w="658"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tc>
        <w:tc>
          <w:tcPr>
            <w:tcW w:w="5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结果维持</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结果纠正</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其他结果</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尚未审结</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总计</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结果维持</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结果纠正</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其他结果</w:t>
            </w:r>
          </w:p>
        </w:tc>
        <w:tc>
          <w:tcPr>
            <w:tcW w:w="606"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尚未审结</w:t>
            </w:r>
          </w:p>
        </w:tc>
        <w:tc>
          <w:tcPr>
            <w:tcW w:w="606"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总计</w:t>
            </w:r>
          </w:p>
        </w:tc>
      </w:tr>
      <w:tr>
        <w:trPr>
          <w:trHeight w:val="862"/>
        </w:trPr>
        <w:tc>
          <w:tcPr>
            <w:tcW w:w="604"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04"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04"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04"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58"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5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06"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06"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kern w:val="0"/>
                <w:sz w:val="28"/>
                <w:szCs w:val="28"/>
              </w:rPr>
            </w:pPr>
            <w:r>
              <w:rPr>
                <w:rFonts w:hint="eastAsia"/>
                <w:kern w:val="0"/>
                <w:sz w:val="28"/>
                <w:szCs w:val="28"/>
              </w:rPr>
              <w:t>0</w:t>
            </w:r>
          </w:p>
        </w:tc>
      </w:tr>
    </w:tbl>
    <w:p>
      <w:pPr>
        <w:pStyle w:val="25"/>
        <w:widowControl/>
        <w:shd w:val="clear" w:color="auto" w:fill="FFFFFF"/>
        <w:spacing w:beforeLines="50" w:before="218" w:beforeAutospacing="0" w:afterAutospacing="0" w:line="560" w:lineRule="exact"/>
        <w:ind w:firstLineChars="200" w:firstLine="640"/>
        <w:jc w:val="both"/>
        <w:rPr>
          <w:rFonts w:ascii="方正黑体_GBK" w:eastAsia="方正黑体_GBK" w:cs="楷体_GB2312" w:hint="eastAsia"/>
          <w:bCs/>
          <w:sz w:val="32"/>
          <w:szCs w:val="32"/>
          <w:shd w:val="clear" w:color="auto" w:fill="FFFFFF"/>
        </w:rPr>
      </w:pPr>
      <w:r>
        <w:rPr>
          <w:rFonts w:ascii="方正黑体_GBK" w:eastAsia="方正黑体_GBK" w:cs="楷体_GB2312" w:hint="eastAsia"/>
          <w:bCs/>
          <w:sz w:val="32"/>
          <w:szCs w:val="32"/>
          <w:shd w:val="clear" w:color="auto" w:fill="FFFFFF"/>
        </w:rPr>
        <w:t>五、存在的主要问题及改进情况</w:t>
      </w:r>
    </w:p>
    <w:p>
      <w:pPr>
        <w:pStyle w:val="41"/>
        <w:adjustRightInd w:val="0"/>
        <w:snapToGrid w:val="0"/>
        <w:ind w:firstLineChars="200" w:firstLine="624"/>
        <w:rPr>
          <w:rFonts w:ascii="方正楷体_GBK" w:eastAsia="方正楷体_GBK" w:hint="eastAsia"/>
          <w:b/>
          <w:bCs/>
        </w:rPr>
      </w:pPr>
      <w:r>
        <w:rPr>
          <w:rFonts w:ascii="方正楷体_GBK" w:eastAsia="方正楷体_GBK" w:hint="eastAsia"/>
          <w:b/>
          <w:bCs/>
        </w:rPr>
        <w:t>（一）2023年年报中所提问题整改情况。</w:t>
      </w:r>
    </w:p>
    <w:p>
      <w:pPr>
        <w:pStyle w:val="26"/>
        <w:adjustRightInd w:val="0"/>
        <w:snapToGrid w:val="0"/>
        <w:ind w:firstLineChars="200" w:firstLine="624"/>
        <w:rPr>
          <w:szCs w:val="32"/>
        </w:rPr>
      </w:pPr>
      <w:r>
        <w:rPr>
          <w:rStyle w:val="71"/>
          <w:b/>
          <w:bCs/>
          <w:color w:val="000000"/>
          <w:szCs w:val="32"/>
        </w:rPr>
        <w:t>存在问题：</w:t>
      </w:r>
      <w:r>
        <w:rPr>
          <w:rFonts w:hint="eastAsia"/>
          <w:szCs w:val="32"/>
        </w:rPr>
        <w:t>政务公开工作推动力度不够，关长接待日预约信息发布不够及时。</w:t>
      </w:r>
    </w:p>
    <w:p>
      <w:pPr>
        <w:pStyle w:val="26"/>
        <w:adjustRightInd w:val="0"/>
        <w:snapToGrid w:val="0"/>
        <w:ind w:firstLineChars="200" w:firstLine="624"/>
      </w:pPr>
      <w:r>
        <w:rPr>
          <w:rStyle w:val="71"/>
          <w:rFonts w:hint="eastAsia"/>
          <w:b/>
          <w:bCs/>
          <w:color w:val="000000"/>
          <w:szCs w:val="32"/>
        </w:rPr>
        <w:t>整改措施：</w:t>
      </w:r>
      <w:r>
        <w:rPr>
          <w:rFonts w:cs="宋体" w:hint="eastAsia"/>
          <w:color w:val="000000"/>
          <w:spacing w:val="0"/>
          <w:kern w:val="0"/>
          <w:szCs w:val="32"/>
        </w:rPr>
        <w:t>一是</w:t>
      </w:r>
      <w:r>
        <w:rPr>
          <w:rFonts w:cs="宋体"/>
          <w:color w:val="000000"/>
          <w:spacing w:val="0"/>
          <w:kern w:val="0"/>
          <w:szCs w:val="32"/>
        </w:rPr>
        <w:t>强化信息公开意识，</w:t>
      </w:r>
      <w:r>
        <w:rPr>
          <w:rFonts w:cs="宋体" w:hint="eastAsia"/>
          <w:color w:val="000000"/>
          <w:spacing w:val="0"/>
          <w:kern w:val="0"/>
          <w:szCs w:val="32"/>
        </w:rPr>
        <w:t>通过深圳</w:t>
      </w:r>
      <w:r>
        <w:rPr>
          <w:rFonts w:hint="eastAsia"/>
          <w:color w:val="000000"/>
          <w:spacing w:val="0"/>
          <w:kern w:val="0"/>
          <w:szCs w:val="32"/>
        </w:rPr>
        <w:t>海关门户网站、现场公示栏等</w:t>
      </w:r>
      <w:r>
        <w:rPr>
          <w:color w:val="000000"/>
          <w:spacing w:val="0"/>
          <w:kern w:val="0"/>
          <w:szCs w:val="32"/>
        </w:rPr>
        <w:t>平台</w:t>
      </w:r>
      <w:r>
        <w:rPr>
          <w:rFonts w:hint="eastAsia"/>
          <w:color w:val="000000"/>
          <w:spacing w:val="0"/>
          <w:kern w:val="0"/>
          <w:szCs w:val="32"/>
        </w:rPr>
        <w:t>，</w:t>
      </w:r>
      <w:r>
        <w:rPr>
          <w:color w:val="000000"/>
          <w:spacing w:val="0"/>
          <w:kern w:val="0"/>
          <w:szCs w:val="32"/>
        </w:rPr>
        <w:t>及时</w:t>
      </w:r>
      <w:r>
        <w:rPr>
          <w:rFonts w:hint="eastAsia"/>
          <w:color w:val="000000"/>
          <w:spacing w:val="0"/>
          <w:kern w:val="0"/>
          <w:szCs w:val="32"/>
        </w:rPr>
        <w:t>宣</w:t>
      </w:r>
      <w:r>
        <w:rPr>
          <w:color w:val="000000"/>
          <w:spacing w:val="0"/>
          <w:kern w:val="0"/>
          <w:szCs w:val="32"/>
        </w:rPr>
        <w:t>传</w:t>
      </w:r>
      <w:r>
        <w:rPr>
          <w:rFonts w:hint="eastAsia"/>
          <w:color w:val="000000"/>
          <w:spacing w:val="0"/>
          <w:kern w:val="0"/>
          <w:szCs w:val="32"/>
        </w:rPr>
        <w:t>海关政策</w:t>
      </w:r>
      <w:r>
        <w:rPr>
          <w:color w:val="000000"/>
          <w:spacing w:val="0"/>
          <w:kern w:val="0"/>
          <w:szCs w:val="32"/>
        </w:rPr>
        <w:t>法规，</w:t>
      </w:r>
      <w:r>
        <w:rPr>
          <w:rFonts w:hint="eastAsia"/>
          <w:color w:val="000000"/>
          <w:spacing w:val="0"/>
          <w:kern w:val="0"/>
          <w:szCs w:val="32"/>
        </w:rPr>
        <w:t>主动</w:t>
      </w:r>
      <w:r>
        <w:rPr>
          <w:color w:val="000000"/>
          <w:spacing w:val="0"/>
          <w:kern w:val="0"/>
          <w:szCs w:val="32"/>
        </w:rPr>
        <w:t>回应服务对象</w:t>
      </w:r>
      <w:r>
        <w:rPr>
          <w:rFonts w:hint="eastAsia"/>
          <w:color w:val="000000"/>
          <w:spacing w:val="0"/>
          <w:kern w:val="0"/>
          <w:szCs w:val="32"/>
        </w:rPr>
        <w:t>信息公开</w:t>
      </w:r>
      <w:r>
        <w:rPr>
          <w:color w:val="000000"/>
          <w:spacing w:val="0"/>
          <w:kern w:val="0"/>
          <w:szCs w:val="32"/>
        </w:rPr>
        <w:t>诉求。</w:t>
      </w:r>
      <w:r>
        <w:rPr>
          <w:rFonts w:hint="eastAsia"/>
          <w:szCs w:val="32"/>
        </w:rPr>
        <w:t>对19家粤东海域运营</w:t>
      </w:r>
      <w:r>
        <w:rPr>
          <w:szCs w:val="32"/>
        </w:rPr>
        <w:t>船舶</w:t>
      </w:r>
      <w:r>
        <w:rPr>
          <w:rFonts w:hint="eastAsia"/>
          <w:szCs w:val="32"/>
        </w:rPr>
        <w:t>企业开展全覆盖预申报普法，规范船舶通航行为。</w:t>
      </w:r>
      <w:r>
        <w:rPr>
          <w:rFonts w:hint="eastAsia"/>
          <w:color w:val="000000"/>
          <w:spacing w:val="0"/>
          <w:kern w:val="0"/>
          <w:szCs w:val="32"/>
        </w:rPr>
        <w:t>二是</w:t>
      </w:r>
      <w:r>
        <w:rPr>
          <w:color w:val="000000"/>
          <w:spacing w:val="0"/>
          <w:kern w:val="0"/>
          <w:szCs w:val="32"/>
        </w:rPr>
        <w:t>强化职责分工落实，</w:t>
      </w:r>
      <w:r>
        <w:rPr>
          <w:rFonts w:hint="eastAsia"/>
          <w:snapToGrid w:val="0"/>
          <w:color w:val="000000"/>
          <w:spacing w:val="0"/>
          <w:kern w:val="0"/>
          <w:szCs w:val="32"/>
          <w:lang w:val="en-US" w:eastAsia="zh-CN"/>
        </w:rPr>
        <w:t>指定专人</w:t>
      </w:r>
      <w:r>
        <w:rPr>
          <w:snapToGrid w:val="0"/>
          <w:color w:val="000000"/>
          <w:spacing w:val="0"/>
          <w:kern w:val="0"/>
          <w:szCs w:val="32"/>
          <w:lang w:val="en-US" w:eastAsia="zh-CN"/>
        </w:rPr>
        <w:t>定期</w:t>
      </w:r>
      <w:r>
        <w:rPr>
          <w:rFonts w:hint="eastAsia"/>
          <w:snapToGrid w:val="0"/>
          <w:color w:val="000000"/>
          <w:spacing w:val="0"/>
          <w:kern w:val="0"/>
          <w:szCs w:val="32"/>
          <w:lang w:val="en-US"/>
        </w:rPr>
        <w:t>发布关长接待日通知，明确</w:t>
      </w:r>
      <w:r>
        <w:rPr>
          <w:rFonts w:hint="eastAsia"/>
          <w:bCs/>
          <w:snapToGrid w:val="0"/>
          <w:color w:val="000000"/>
          <w:spacing w:val="0"/>
          <w:kern w:val="0"/>
          <w:szCs w:val="32"/>
          <w:lang w:val="en-US"/>
        </w:rPr>
        <w:t>关长接待日</w:t>
      </w:r>
      <w:r>
        <w:rPr>
          <w:rFonts w:hint="eastAsia"/>
          <w:snapToGrid w:val="0"/>
          <w:color w:val="000000"/>
          <w:spacing w:val="0"/>
          <w:kern w:val="0"/>
          <w:szCs w:val="32"/>
          <w:lang w:val="en-US"/>
        </w:rPr>
        <w:t>为</w:t>
      </w:r>
      <w:r>
        <w:rPr>
          <w:rFonts w:eastAsia="方正仿宋_GBK"/>
          <w:sz w:val="32"/>
          <w:szCs w:val="32"/>
        </w:rPr>
        <w:t>每</w:t>
      </w:r>
      <w:r>
        <w:rPr>
          <w:rFonts w:eastAsia="方正仿宋_GBK" w:hint="eastAsia"/>
          <w:sz w:val="32"/>
          <w:szCs w:val="32"/>
        </w:rPr>
        <w:t>月</w:t>
      </w:r>
      <w:r>
        <w:rPr>
          <w:rFonts w:eastAsia="方正仿宋_GBK"/>
          <w:sz w:val="32"/>
          <w:szCs w:val="32"/>
        </w:rPr>
        <w:t>最后一周</w:t>
      </w:r>
      <w:r>
        <w:rPr>
          <w:rFonts w:eastAsia="方正仿宋_GBK" w:hint="eastAsia"/>
          <w:sz w:val="32"/>
          <w:szCs w:val="32"/>
        </w:rPr>
        <w:t>的周一</w:t>
      </w:r>
      <w:r>
        <w:rPr>
          <w:rFonts w:hint="eastAsia"/>
          <w:snapToGrid w:val="0"/>
          <w:color w:val="000000"/>
          <w:spacing w:val="0"/>
          <w:kern w:val="0"/>
          <w:szCs w:val="32"/>
          <w:lang w:val="en-US"/>
        </w:rPr>
        <w:t>，全年发布关长接待日通知12份，均</w:t>
      </w:r>
      <w:r>
        <w:rPr>
          <w:snapToGrid w:val="0"/>
          <w:color w:val="000000"/>
          <w:spacing w:val="0"/>
          <w:kern w:val="0"/>
          <w:szCs w:val="32"/>
          <w:lang w:val="en-US"/>
        </w:rPr>
        <w:t>按</w:t>
      </w:r>
      <w:r>
        <w:rPr>
          <w:rFonts w:hint="eastAsia"/>
          <w:snapToGrid w:val="0"/>
          <w:color w:val="000000"/>
          <w:spacing w:val="0"/>
          <w:kern w:val="0"/>
          <w:szCs w:val="32"/>
          <w:lang w:val="en-US"/>
        </w:rPr>
        <w:t>规定</w:t>
      </w:r>
      <w:r>
        <w:rPr>
          <w:snapToGrid w:val="0"/>
          <w:color w:val="000000"/>
          <w:spacing w:val="0"/>
          <w:kern w:val="0"/>
          <w:szCs w:val="32"/>
          <w:lang w:val="en-US"/>
        </w:rPr>
        <w:t>要求</w:t>
      </w:r>
      <w:r>
        <w:rPr>
          <w:rFonts w:hint="eastAsia"/>
          <w:snapToGrid w:val="0"/>
          <w:color w:val="000000"/>
          <w:spacing w:val="0"/>
          <w:kern w:val="0"/>
          <w:szCs w:val="32"/>
          <w:lang w:val="en-US"/>
        </w:rPr>
        <w:t>发布。</w:t>
      </w:r>
    </w:p>
    <w:p>
      <w:pPr>
        <w:pStyle w:val="18"/>
        <w:ind w:firstLineChars="200" w:firstLine="624"/>
        <w:jc w:val="left"/>
        <w:rPr>
          <w:snapToGrid w:val="0"/>
          <w:szCs w:val="32"/>
        </w:rPr>
      </w:pPr>
      <w:r>
        <w:rPr>
          <w:rFonts w:ascii="方正楷体_GBK" w:eastAsia="方正楷体_GBK" w:hint="eastAsia"/>
          <w:b/>
          <w:bCs/>
        </w:rPr>
        <w:t>（二）目前存在问题。</w:t>
      </w:r>
      <w:r>
        <w:rPr>
          <w:snapToGrid w:val="0"/>
          <w:szCs w:val="32"/>
        </w:rPr>
        <w:t>从事信息公开工作人员的专业能力有待提升。</w:t>
      </w:r>
    </w:p>
    <w:p>
      <w:pPr>
        <w:pStyle w:val="34"/>
        <w:adjustRightInd w:val="0"/>
        <w:snapToGrid w:val="0"/>
        <w:ind w:firstLineChars="200" w:firstLine="624"/>
        <w:rPr>
          <w:rFonts w:ascii="方正黑体_GBK" w:eastAsia="方正黑体_GBK" w:cs="楷体_GB2312" w:hint="eastAsia"/>
          <w:bCs/>
          <w:szCs w:val="32"/>
          <w:shd w:val="clear" w:color="auto" w:fill="FFFFFF"/>
        </w:rPr>
      </w:pPr>
      <w:r>
        <w:rPr>
          <w:rFonts w:ascii="方正黑体_GBK" w:eastAsia="方正黑体_GBK" w:cs="楷体_GB2312" w:hint="eastAsia"/>
          <w:bCs/>
          <w:szCs w:val="32"/>
          <w:shd w:val="clear" w:color="auto" w:fill="FFFFFF"/>
        </w:rPr>
        <w:t>六、其他需要报告的事项</w:t>
      </w:r>
      <w:bookmarkEnd w:id="1"/>
    </w:p>
    <w:p>
      <w:pPr>
        <w:pStyle w:val="40"/>
        <w:adjustRightInd w:val="0"/>
        <w:snapToGrid w:val="0"/>
        <w:ind w:firstLineChars="200" w:firstLine="624"/>
      </w:pPr>
      <w:bookmarkStart w:id="2" w:name="_GoBack"/>
      <w:bookmarkEnd w:id="2"/>
      <w:r>
        <w:rPr>
          <w:rFonts w:hint="eastAsia"/>
        </w:rPr>
        <w:t>本年度未收取政府信息公开处理费。无其他需要报告事项。</w:t>
      </w:r>
    </w:p>
    <w:p>
      <w:pPr>
        <w:pStyle w:val="16"/>
        <w:tabs>
          <w:tab w:val="center" w:pos="4153"/>
          <w:tab w:val="right" w:pos="8306"/>
        </w:tabs>
      </w:pPr>
    </w:p>
    <w:p>
      <w:pPr>
        <w:pStyle w:val="16"/>
        <w:tabs>
          <w:tab w:val="center" w:pos="4153"/>
          <w:tab w:val="right" w:pos="8306"/>
        </w:tabs>
      </w:pPr>
    </w:p>
    <w:sectPr>
      <w:footerReference w:type="default" r:id="rId2"/>
      <w:footerReference w:type="even" r:id="rId3"/>
      <w:footerReference w:type="first" r:id="rId4"/>
      <w:pgSz w:w="11906" w:h="16838"/>
      <w:pgMar w:top="2098" w:right="1474" w:bottom="1985" w:left="1588" w:header="851" w:footer="992" w:gutter="0"/>
      <w:pgNumType w:fmt="numberInDash" w:start="1"/>
      <w:docGrid w:type="lines" w:linePitch="435" w:charSpace="0"/>
    </w:sectPr>
  </w:body>
</w:document>
</file>

<file path=word/fontTable.xml><?xml version="1.0" encoding="utf-8"?>
<w:fonts xmlns:w="http://schemas.openxmlformats.org/wordprocessingml/2006/main" xmlns:r="http://schemas.openxmlformats.org/officeDocument/2006/relationships">
  <w:font w:name="方正小标宋_GBK">
    <w:panose1 w:val="03000509000000000000"/>
    <w:charset w:val="86"/>
    <w:family w:val="script"/>
    <w:pitch w:val="variable"/>
    <w:sig w:usb0="00000001" w:usb1="080E0000" w:usb2="00000010" w:usb3="00000000" w:csb0="00040000" w:csb1="00000000"/>
  </w:font>
  <w:font w:name="方正仿宋_GBK">
    <w:panose1 w:val="03000509000000000000"/>
    <w:charset w:val="86"/>
    <w:family w:val="script"/>
    <w:pitch w:val="variable"/>
    <w:sig w:usb0="00000001" w:usb1="080E0000" w:usb2="00000010" w:usb3="00000000" w:csb0="00040000" w:csb1="00000000"/>
  </w:font>
  <w:font w:name="方正黑体_GBK">
    <w:panose1 w:val="03000509000000000000"/>
    <w:charset w:val="86"/>
    <w:family w:val="script"/>
    <w:pitch w:val="variable"/>
    <w:sig w:usb0="00000001" w:usb1="080E0000" w:usb2="00000010" w:usb3="00000000" w:csb0="00040000" w:csb1="00000000"/>
  </w:font>
  <w:font w:name="楷体_GB2312">
    <w:altName w:val="楷体"/>
    <w:panose1 w:val="00000000000000000000"/>
    <w:charset w:val="00"/>
    <w:family w:val="auto"/>
    <w:pitch w:val="variable"/>
    <w:sig w:usb0="00000000" w:usb1="00000000" w:usb2="00000000" w:usb3="00000000" w:csb0="00000000" w:csb1="00000000"/>
  </w:font>
  <w:font w:name="Times New Roman">
    <w:panose1 w:val="02020603050405020304"/>
    <w:charset w:val="00"/>
    <w:family w:val="roman"/>
    <w:pitch w:val="variable"/>
    <w:sig w:usb0="E0002AFF" w:usb1="C0007841" w:usb2="00000009" w:usb3="00000000" w:csb0="000001FF" w:csb1="00000000"/>
  </w:font>
  <w:font w:name="方正楷体_GBK">
    <w:panose1 w:val="03000509000000000000"/>
    <w:charset w:val="86"/>
    <w:family w:val="script"/>
    <w:pitch w:val="variable"/>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variable"/>
    <w:sig w:usb0="800002BF" w:usb1="38CF7CFA" w:usb2="00000016" w:usb3="00000000" w:csb0="00040001" w:csb1="00000000"/>
  </w:font>
  <w:font w:name="黑体">
    <w:altName w:val="SimHei"/>
    <w:panose1 w:val="02010609060101010101"/>
    <w:charset w:val="86"/>
    <w:family w:val="modern"/>
    <w:pitch w:val="variable"/>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framePr w:w="0" w:hRule="auto" w:wrap="around" w:vAnchor="text" w:hAnchor="margin" w:xAlign="center" w:y="1" w:anchorLock="0"/>
      <w:tabs>
        <w:tab w:val="center" w:pos="4153"/>
        <w:tab w:val="right" w:pos="8306"/>
      </w:tabs>
    </w:pPr>
    <w:r>
      <w:rPr>
        <w:rStyle w:val="17"/>
      </w:rPr>
      <w:fldChar w:fldCharType="begin"/>
    </w:r>
    <w:r>
      <w:rPr>
        <w:rStyle w:val="17"/>
      </w:rPr>
      <w:instrText>Page</w:instrText>
    </w:r>
    <w:r>
      <w:rPr>
        <w:rStyle w:val="17"/>
      </w:rPr>
      <w:fldChar w:fldCharType="separate"/>
    </w:r>
    <w:r>
      <w:rPr>
        <w:rStyle w:val="17"/>
      </w:rPr>
      <w:t>- 1 -</w:t>
    </w:r>
    <w:r>
      <w:rPr>
        <w:rStyle w:val="17"/>
      </w:rPr>
      <w:fldChar w:fldCharType="end"/>
    </w:r>
  </w:p>
  <w:p>
    <w:pPr>
      <w:pStyle w:val="16"/>
      <w:tabs>
        <w:tab w:val="center" w:pos="4153"/>
        <w:tab w:val="right" w:pos="8306"/>
      </w:tabs>
      <w:ind w:right="360" w:firstLine="360"/>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framePr w:w="0" w:hRule="auto" w:wrap="around" w:vAnchor="text" w:hAnchor="margin" w:xAlign="center" w:y="1" w:anchorLock="0"/>
      <w:tabs>
        <w:tab w:val="center" w:pos="4153"/>
        <w:tab w:val="right" w:pos="8306"/>
      </w:tabs>
    </w:pPr>
    <w:r>
      <w:rPr>
        <w:rStyle w:val="17"/>
      </w:rPr>
      <w:fldChar w:fldCharType="begin"/>
    </w:r>
    <w:r>
      <w:rPr>
        <w:rStyle w:val="17"/>
      </w:rPr>
      <w:instrText>Page</w:instrText>
    </w:r>
    <w:r>
      <w:rPr>
        <w:rStyle w:val="17"/>
      </w:rPr>
      <w:fldChar w:fldCharType="separate"/>
    </w:r>
    <w:r>
      <w:rPr>
        <w:rStyle w:val="17"/>
      </w:rPr>
      <w:t>- 2 -</w:t>
    </w:r>
    <w:r>
      <w:rPr>
        <w:rStyle w:val="17"/>
      </w:rPr>
      <w:fldChar w:fldCharType="end"/>
    </w:r>
  </w:p>
  <w:p>
    <w:pPr>
      <w:pStyle w:val="16"/>
      <w:tabs>
        <w:tab w:val="center" w:pos="4153"/>
        <w:tab w:val="right" w:pos="8306"/>
      </w:tabs>
      <w:ind w:right="360" w:firstLine="360"/>
    </w:pP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tabs>
        <w:tab w:val="center" w:pos="4153"/>
        <w:tab w:val="right" w:pos="8306"/>
      </w:tabs>
      <w:jc w:val="right"/>
    </w:pPr>
    <w:r>
      <w:fldChar w:fldCharType="begin"/>
    </w:r>
    <w:r>
      <w:instrText>Page</w:instrText>
    </w:r>
    <w:r>
      <w:fldChar w:fldCharType="separate"/>
    </w:r>
    <w:r>
      <w:t>- 1 -</w:t>
    </w:r>
    <w:r>
      <w:fldChar w:fldCharType="end"/>
    </w:r>
    <w:r>
      <w:fldChar w:fldCharType="begin"/>
    </w:r>
    <w:r>
      <w:instrText>NumPages</w:instrText>
    </w:r>
    <w:r>
      <w:fldChar w:fldCharType="separate"/>
    </w:r>
    <w:r>
      <w:t>2</w:t>
    </w:r>
    <w:r>
      <w:fldChar w:fldCharType="end"/>
    </w:r>
    <w:r>
      <w:fldChar w:fldCharType="begin"/>
    </w:r>
    <w:r>
      <w:instrText>Page</w:instrText>
    </w:r>
    <w:r>
      <w:fldChar w:fldCharType="separate"/>
    </w:r>
    <w:r>
      <w:t>- 1 -</w:t>
    </w:r>
    <w:r>
      <w:fldChar w:fldCharType="end"/>
    </w:r>
    <w:r>
      <w:fldChar w:fldCharType="begin"/>
    </w:r>
    <w:r>
      <w:instrText>Page</w:instrText>
    </w:r>
    <w:r>
      <w:fldChar w:fldCharType="separate"/>
    </w:r>
    <w:r>
      <w:t>- 1 -</w:t>
    </w:r>
    <w:r>
      <w:fldChar w:fldCharType="end"/>
    </w:r>
  </w:p>
  <w:p>
    <w:pPr>
      <w:pStyle w:val="16"/>
      <w:tabs>
        <w:tab w:val="center" w:pos="4153"/>
        <w:tab w:val="right" w:pos="8306"/>
      </w:tabs>
    </w:pPr>
  </w:p>
</w:ft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EA636716"/>
    <w:multiLevelType w:val="singleLevel"/>
    <w:tmpl w:val="91A60E94"/>
    <w:lvl w:ilvl="0">
      <w:start w:val="1"/>
      <w:numFmt w:val="decimal"/>
      <w:lvlRestart w:val="0"/>
      <w:pStyle w:val="52"/>
      <w:lvlText w:val="%1."/>
      <w:lvlJc w:val="left"/>
      <w:pPr>
        <w:tabs>
          <w:tab w:val="num" w:pos="780"/>
        </w:tabs>
        <w:ind w:left="780" w:hanging="360"/>
      </w:p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bestFit" w:percent="100"/>
  <w:doNotDisplayPageBoundaries/>
  <w:bordersDoNotSurroundHeader/>
  <w:bordersDoNotSurroundFooter/>
  <w:trackRevisions/>
  <w:defaultTabStop w:val="420"/>
  <w:evenAndOddHeaders/>
  <w:drawingGridHorizontalSpacing w:val="160"/>
  <w:drawingGridVerticalSpacing w:val="435"/>
  <w:displayHorizontalDrawingGridEvery w:val="0"/>
  <w:displayVerticalDrawingGridEvery w:val="1"/>
  <w:characterSpacingControl w:val="compressPunctuation"/>
  <w:compat>
    <w:spaceForUL/>
    <w:balanceSingleByteDoubleByteWidth/>
    <w:ulTrailSpace/>
    <w:doNotExpandShiftReturn/>
    <w:adjustLineHeightInTable/>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方正仿宋_GBK" w:cs="Times New Roman" w:hAnsi="Times New Roman"/>
      <w:kern w:val="2"/>
      <w:sz w:val="32"/>
      <w:szCs w:val="22"/>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szCs w:val="44"/>
    </w:rPr>
  </w:style>
  <w:style w:type="paragraph" w:styleId="2">
    <w:name w:val="heading 2"/>
    <w:basedOn w:val="0"/>
    <w:next w:val="0"/>
    <w:pPr>
      <w:keepNext/>
      <w:keepLines/>
      <w:widowControl w:val="0"/>
      <w:spacing w:before="260" w:after="260" w:line="415" w:lineRule="auto"/>
      <w:outlineLvl w:val="1"/>
    </w:pPr>
    <w:rPr>
      <w:rFonts w:eastAsia="黑体"/>
      <w:b/>
      <w:bCs/>
      <w:szCs w:val="32"/>
    </w:rPr>
  </w:style>
  <w:style w:type="paragraph" w:styleId="3">
    <w:name w:val="heading 3"/>
    <w:basedOn w:val="0"/>
    <w:next w:val="0"/>
    <w:pPr>
      <w:keepNext/>
      <w:keepLines/>
      <w:widowControl w:val="0"/>
      <w:spacing w:before="260" w:after="260" w:line="415" w:lineRule="auto"/>
      <w:outlineLvl w:val="2"/>
    </w:pPr>
    <w:rPr>
      <w:b/>
      <w:bCs/>
      <w:szCs w:val="32"/>
    </w:rPr>
  </w:style>
  <w:style w:type="character" w:default="1" w:styleId="10">
    <w:name w:val="Default Paragraph Font"/>
  </w:style>
  <w:style w:type="paragraph" w:styleId="15">
    <w:name w:val="header"/>
    <w:basedOn w:val="0"/>
    <w:pPr>
      <w:pBdr>
        <w:bottom w:val="single" w:sz="6" w:space="1" w:color="auto"/>
      </w:pBdr>
      <w:tabs>
        <w:tab w:val="center" w:pos="4153"/>
        <w:tab w:val="right" w:pos="8306"/>
      </w:tabs>
      <w:snapToGrid w:val="0"/>
      <w:jc w:val="center"/>
    </w:pPr>
    <w:rPr>
      <w:sz w:val="18"/>
      <w:szCs w:val="18"/>
    </w:rPr>
  </w:style>
  <w:style w:type="paragraph" w:styleId="16">
    <w:name w:val="footer"/>
    <w:basedOn w:val="0"/>
    <w:pPr>
      <w:tabs>
        <w:tab w:val="center" w:pos="4153"/>
        <w:tab w:val="right" w:pos="8306"/>
      </w:tabs>
      <w:snapToGrid w:val="0"/>
      <w:jc w:val="left"/>
    </w:pPr>
    <w:rPr>
      <w:sz w:val="18"/>
      <w:szCs w:val="18"/>
    </w:rPr>
  </w:style>
  <w:style w:type="character" w:styleId="17">
    <w:name w:val="page number"/>
    <w:basedOn w:val="10"/>
  </w:style>
  <w:style w:type="paragraph" w:customStyle="1" w:styleId="18">
    <w:name w:val="样式 三号"/>
    <w:next w:val="27"/>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styleId="19">
    <w:name w:val="index 5"/>
    <w:basedOn w:val="0"/>
    <w:autoRedefine/>
    <w:next w:val="0"/>
    <w:pPr>
      <w:ind w:left="1680"/>
    </w:pPr>
    <w:rPr>
      <w:rFonts w:ascii="Times New Roman" w:eastAsia="方正小标宋_GBK" w:cs="Times New Roman" w:hAnsi="Times New Roman"/>
      <w:lang w:val="en-US" w:eastAsia="zh-CN" w:bidi="ar-SA"/>
    </w:rPr>
  </w:style>
  <w:style w:type="paragraph" w:styleId="20">
    <w:name w:val="index 6"/>
    <w:basedOn w:val="0"/>
    <w:autoRedefine/>
    <w:next w:val="0"/>
    <w:pPr>
      <w:ind w:left="2100"/>
    </w:pPr>
  </w:style>
  <w:style w:type="paragraph" w:styleId="21">
    <w:name w:val="index 7"/>
    <w:basedOn w:val="0"/>
    <w:autoRedefine/>
    <w:next w:val="0"/>
    <w:pPr>
      <w:ind w:left="2520"/>
    </w:pPr>
  </w:style>
  <w:style w:type="paragraph" w:styleId="22">
    <w:name w:val="index 8"/>
    <w:basedOn w:val="0"/>
    <w:autoRedefine/>
    <w:next w:val="0"/>
    <w:pPr>
      <w:ind w:left="2940"/>
    </w:pPr>
  </w:style>
  <w:style w:type="paragraph" w:styleId="23">
    <w:name w:val="toc 1"/>
    <w:basedOn w:val="0"/>
    <w:autoRedefine/>
    <w:next w:val="0"/>
  </w:style>
  <w:style w:type="paragraph" w:styleId="24">
    <w:name w:val="toc 2"/>
    <w:basedOn w:val="0"/>
    <w:autoRedefine/>
    <w:next w:val="0"/>
    <w:pPr>
      <w:ind w:left="420"/>
    </w:pPr>
  </w:style>
  <w:style w:type="paragraph" w:styleId="25">
    <w:name w:val="Normal (Web)"/>
    <w:next w:val="16"/>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26">
    <w:name w:val="样式 1 三号"/>
    <w:next w:val="23"/>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27">
    <w:name w:val="样式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28">
    <w:name w:val="样式 小三"/>
    <w:next w:val="24"/>
    <w:pPr>
      <w:widowControl w:val="0"/>
      <w:jc w:val="both"/>
    </w:pPr>
    <w:rPr>
      <w:rFonts w:ascii="Times New Roman" w:eastAsia="宋体" w:cs="Times New Roman" w:hAnsi="Times New Roman"/>
      <w:kern w:val="2"/>
      <w:sz w:val="30"/>
      <w:szCs w:val="30"/>
      <w:lang w:val="en-US" w:eastAsia="zh-CN" w:bidi="ar-SA"/>
    </w:rPr>
  </w:style>
  <w:style w:type="paragraph" w:customStyle="1" w:styleId="29">
    <w:name w:val="样式 1 小四"/>
    <w:next w:val="0"/>
    <w:pPr>
      <w:widowControl w:val="0"/>
    </w:pPr>
    <w:rPr>
      <w:rFonts w:ascii="宋体" w:eastAsia="宋体" w:cs="Times New Roman"/>
      <w:kern w:val="2"/>
      <w:sz w:val="24"/>
      <w:lang w:val="en-US" w:eastAsia="zh-CN" w:bidi="ar-SA"/>
    </w:rPr>
  </w:style>
  <w:style w:type="paragraph" w:customStyle="1" w:styleId="30">
    <w:name w:val="样式 6 小四"/>
    <w:next w:val="0"/>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31">
    <w:name w:val="样式 20 小四"/>
    <w:next w:val="19"/>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32">
    <w:name w:val="样式 12 三号"/>
    <w:next w:val="22"/>
    <w:pPr>
      <w:widowControl w:val="0"/>
      <w:jc w:val="both"/>
    </w:pPr>
    <w:rPr>
      <w:rFonts w:ascii="Times New Roman" w:eastAsia="方正仿宋_GBK" w:cs="Times New Roman" w:hAnsi="Times New Roman"/>
      <w:kern w:val="2"/>
      <w:sz w:val="32"/>
      <w:lang w:val="en-US" w:eastAsia="zh-CN" w:bidi="ar-SA"/>
    </w:rPr>
  </w:style>
  <w:style w:type="paragraph" w:customStyle="1" w:styleId="33">
    <w:name w:val="样式 50 三号"/>
    <w:next w:val="20"/>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34">
    <w:name w:val="样式 13 三号"/>
    <w:next w:val="21"/>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35">
    <w:name w:val="样式 2 三号"/>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36">
    <w:name w:val="样式 3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7">
    <w:name w:val="样式 4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8">
    <w:name w:val="样式 5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9">
    <w:name w:val="样式 6 三号"/>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40">
    <w:name w:val="样式 7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41">
    <w:name w:val="样式 8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42">
    <w:name w:val="样式 小四"/>
    <w:pPr>
      <w:widowControl w:val="0"/>
    </w:pPr>
    <w:rPr>
      <w:rFonts w:ascii="宋体" w:eastAsia="宋体" w:cs="Times New Roman"/>
      <w:kern w:val="2"/>
      <w:sz w:val="24"/>
      <w:lang w:val="en-US" w:eastAsia="zh-CN" w:bidi="ar-SA"/>
    </w:rPr>
  </w:style>
  <w:style w:type="paragraph" w:customStyle="1" w:styleId="43">
    <w:name w:val="样式 1 小三"/>
    <w:pPr>
      <w:widowControl w:val="0"/>
      <w:jc w:val="both"/>
    </w:pPr>
    <w:rPr>
      <w:rFonts w:ascii="Times New Roman" w:eastAsia="宋体" w:cs="Times New Roman" w:hAnsi="Times New Roman"/>
      <w:kern w:val="2"/>
      <w:sz w:val="30"/>
      <w:szCs w:val="30"/>
      <w:lang w:val="en-US" w:eastAsia="zh-CN" w:bidi="ar-SA"/>
    </w:rPr>
  </w:style>
  <w:style w:type="paragraph" w:customStyle="1" w:styleId="44">
    <w:name w:val="样式 2 小三"/>
    <w:pPr>
      <w:widowControl w:val="0"/>
      <w:jc w:val="both"/>
    </w:pPr>
    <w:rPr>
      <w:rFonts w:ascii="Times New Roman" w:eastAsia="宋体" w:cs="Times New Roman" w:hAnsi="Times New Roman"/>
      <w:kern w:val="2"/>
      <w:sz w:val="30"/>
      <w:szCs w:val="30"/>
      <w:lang w:val="en-US" w:eastAsia="zh-CN" w:bidi="ar-SA"/>
    </w:rPr>
  </w:style>
  <w:style w:type="paragraph" w:customStyle="1" w:styleId="45">
    <w:name w:val="样式 3 小三"/>
    <w:pPr>
      <w:widowControl w:val="0"/>
      <w:jc w:val="both"/>
    </w:pPr>
    <w:rPr>
      <w:rFonts w:ascii="Times New Roman" w:eastAsia="宋体" w:cs="Times New Roman" w:hAnsi="Times New Roman"/>
      <w:kern w:val="2"/>
      <w:sz w:val="30"/>
      <w:szCs w:val="30"/>
      <w:lang w:val="en-US" w:eastAsia="zh-CN" w:bidi="ar-SA"/>
    </w:rPr>
  </w:style>
  <w:style w:type="paragraph" w:customStyle="1" w:styleId="46">
    <w:name w:val="样式 4 小三"/>
    <w:pPr>
      <w:widowControl w:val="0"/>
      <w:jc w:val="both"/>
    </w:pPr>
    <w:rPr>
      <w:rFonts w:ascii="Times New Roman" w:eastAsia="宋体" w:cs="Times New Roman" w:hAnsi="Times New Roman"/>
      <w:kern w:val="2"/>
      <w:sz w:val="30"/>
      <w:szCs w:val="30"/>
      <w:lang w:val="en-US" w:eastAsia="zh-CN" w:bidi="ar-SA"/>
    </w:rPr>
  </w:style>
  <w:style w:type="paragraph" w:customStyle="1" w:styleId="47">
    <w:name w:val="样式 9 三号"/>
    <w:pPr>
      <w:widowControl w:val="0"/>
      <w:ind w:left="420"/>
      <w:jc w:val="both"/>
    </w:pPr>
    <w:rPr>
      <w:rFonts w:ascii="Times New Roman" w:eastAsia="方正仿宋_GBK" w:cs="Times New Roman" w:hAnsi="Times New Roman"/>
      <w:kern w:val="2"/>
      <w:sz w:val="32"/>
      <w:szCs w:val="22"/>
      <w:lang w:val="en-US" w:eastAsia="zh-CN" w:bidi="ar-SA"/>
    </w:rPr>
  </w:style>
  <w:style w:type="paragraph" w:customStyle="1" w:styleId="48">
    <w:name w:val="样式 2 小四"/>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49">
    <w:name w:val="样式 10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50">
    <w:name w:val="样式 3 小四"/>
    <w:pPr>
      <w:widowControl w:val="0"/>
    </w:pPr>
    <w:rPr>
      <w:rFonts w:ascii="宋体" w:eastAsia="宋体" w:cs="Times New Roman"/>
      <w:kern w:val="2"/>
      <w:sz w:val="24"/>
      <w:lang w:val="en-US" w:eastAsia="zh-CN" w:bidi="ar-SA"/>
    </w:rPr>
  </w:style>
  <w:style w:type="paragraph" w:styleId="51">
    <w:name w:val="List Number 2"/>
    <w:basedOn w:val="0"/>
    <w:pPr>
      <w:numPr>
        <w:ilvl w:val="0"/>
        <w:numId w:val="1"/>
      </w:numPr>
    </w:pPr>
  </w:style>
  <w:style w:type="paragraph" w:customStyle="1" w:styleId="52">
    <w:name w:val="样式 5 小三"/>
    <w:pPr>
      <w:widowControl w:val="0"/>
      <w:jc w:val="both"/>
    </w:pPr>
    <w:rPr>
      <w:rFonts w:ascii="Times New Roman" w:eastAsia="宋体" w:cs="Times New Roman" w:hAnsi="Times New Roman"/>
      <w:kern w:val="2"/>
      <w:sz w:val="30"/>
      <w:szCs w:val="30"/>
      <w:lang w:val="en-US" w:eastAsia="zh-CN" w:bidi="ar-SA"/>
    </w:rPr>
  </w:style>
  <w:style w:type="paragraph" w:customStyle="1" w:styleId="53">
    <w:name w:val="样式 6 小三"/>
    <w:pPr>
      <w:widowControl w:val="0"/>
      <w:jc w:val="both"/>
    </w:pPr>
    <w:rPr>
      <w:rFonts w:ascii="Times New Roman" w:eastAsia="宋体" w:cs="Times New Roman" w:hAnsi="Times New Roman"/>
      <w:kern w:val="2"/>
      <w:sz w:val="30"/>
      <w:szCs w:val="30"/>
      <w:lang w:val="en-US" w:eastAsia="zh-CN" w:bidi="ar-SA"/>
    </w:rPr>
  </w:style>
  <w:style w:type="paragraph" w:customStyle="1" w:styleId="54">
    <w:name w:val="样式 7 小三"/>
    <w:pPr>
      <w:widowControl w:val="0"/>
      <w:jc w:val="both"/>
    </w:pPr>
    <w:rPr>
      <w:rFonts w:ascii="Times New Roman" w:eastAsia="宋体" w:cs="Times New Roman" w:hAnsi="Times New Roman"/>
      <w:kern w:val="2"/>
      <w:sz w:val="30"/>
      <w:szCs w:val="30"/>
      <w:lang w:val="en-US" w:eastAsia="zh-CN" w:bidi="ar-SA"/>
    </w:rPr>
  </w:style>
  <w:style w:type="paragraph" w:customStyle="1" w:styleId="55">
    <w:name w:val="样式 8 小三"/>
    <w:pPr>
      <w:widowControl w:val="0"/>
      <w:jc w:val="both"/>
    </w:pPr>
    <w:rPr>
      <w:rFonts w:ascii="Times New Roman" w:eastAsia="宋体" w:cs="Times New Roman" w:hAnsi="Times New Roman"/>
      <w:kern w:val="2"/>
      <w:sz w:val="30"/>
      <w:szCs w:val="30"/>
      <w:lang w:val="en-US" w:eastAsia="zh-CN" w:bidi="ar-SA"/>
    </w:rPr>
  </w:style>
  <w:style w:type="paragraph" w:customStyle="1" w:styleId="56">
    <w:name w:val="样式 9 小三"/>
    <w:pPr>
      <w:widowControl w:val="0"/>
      <w:jc w:val="both"/>
    </w:pPr>
    <w:rPr>
      <w:rFonts w:ascii="Times New Roman" w:eastAsia="宋体" w:cs="Times New Roman" w:hAnsi="Times New Roman"/>
      <w:kern w:val="2"/>
      <w:sz w:val="30"/>
      <w:szCs w:val="30"/>
      <w:lang w:val="en-US" w:eastAsia="zh-CN" w:bidi="ar-SA"/>
    </w:rPr>
  </w:style>
  <w:style w:type="paragraph" w:customStyle="1" w:styleId="57">
    <w:name w:val="样式 10 小三"/>
    <w:pPr>
      <w:widowControl w:val="0"/>
      <w:jc w:val="both"/>
    </w:pPr>
    <w:rPr>
      <w:rFonts w:ascii="Times New Roman" w:eastAsia="宋体" w:cs="Times New Roman" w:hAnsi="Times New Roman"/>
      <w:kern w:val="2"/>
      <w:sz w:val="30"/>
      <w:szCs w:val="30"/>
      <w:lang w:val="en-US" w:eastAsia="zh-CN" w:bidi="ar-SA"/>
    </w:rPr>
  </w:style>
  <w:style w:type="paragraph" w:customStyle="1" w:styleId="58">
    <w:name w:val="样式 11 小三"/>
    <w:pPr>
      <w:widowControl w:val="0"/>
      <w:jc w:val="both"/>
    </w:pPr>
    <w:rPr>
      <w:rFonts w:ascii="Times New Roman" w:eastAsia="宋体" w:cs="Times New Roman" w:hAnsi="Times New Roman"/>
      <w:kern w:val="2"/>
      <w:sz w:val="30"/>
      <w:szCs w:val="30"/>
      <w:lang w:val="en-US" w:eastAsia="zh-CN" w:bidi="ar-SA"/>
    </w:rPr>
  </w:style>
  <w:style w:type="paragraph" w:customStyle="1" w:styleId="59">
    <w:name w:val="样式 12 小三"/>
    <w:pPr>
      <w:widowControl w:val="0"/>
      <w:jc w:val="both"/>
    </w:pPr>
    <w:rPr>
      <w:rFonts w:ascii="Times New Roman" w:eastAsia="宋体" w:cs="Times New Roman" w:hAnsi="Times New Roman"/>
      <w:kern w:val="2"/>
      <w:sz w:val="30"/>
      <w:szCs w:val="30"/>
      <w:lang w:val="en-US" w:eastAsia="zh-CN" w:bidi="ar-SA"/>
    </w:rPr>
  </w:style>
  <w:style w:type="paragraph" w:customStyle="1" w:styleId="60">
    <w:name w:val="样式 13 小三"/>
    <w:pPr>
      <w:widowControl w:val="0"/>
      <w:jc w:val="both"/>
    </w:pPr>
    <w:rPr>
      <w:rFonts w:ascii="Times New Roman" w:eastAsia="宋体" w:cs="Times New Roman" w:hAnsi="Times New Roman"/>
      <w:kern w:val="2"/>
      <w:sz w:val="30"/>
      <w:szCs w:val="30"/>
      <w:lang w:val="en-US" w:eastAsia="zh-CN" w:bidi="ar-SA"/>
    </w:rPr>
  </w:style>
  <w:style w:type="paragraph" w:customStyle="1" w:styleId="61">
    <w:name w:val="样式 14 小三"/>
    <w:pPr>
      <w:widowControl w:val="0"/>
      <w:jc w:val="both"/>
    </w:pPr>
    <w:rPr>
      <w:rFonts w:ascii="Times New Roman" w:eastAsia="宋体" w:cs="Times New Roman" w:hAnsi="Times New Roman"/>
      <w:kern w:val="2"/>
      <w:sz w:val="30"/>
      <w:szCs w:val="30"/>
      <w:lang w:val="en-US" w:eastAsia="zh-CN" w:bidi="ar-SA"/>
    </w:rPr>
  </w:style>
  <w:style w:type="paragraph" w:customStyle="1" w:styleId="62">
    <w:name w:val="样式 15 小三"/>
    <w:pPr>
      <w:widowControl w:val="0"/>
      <w:jc w:val="both"/>
    </w:pPr>
    <w:rPr>
      <w:rFonts w:ascii="Times New Roman" w:eastAsia="宋体" w:cs="Times New Roman" w:hAnsi="Times New Roman"/>
      <w:kern w:val="2"/>
      <w:sz w:val="30"/>
      <w:szCs w:val="30"/>
      <w:lang w:val="en-US" w:eastAsia="zh-CN" w:bidi="ar-SA"/>
    </w:rPr>
  </w:style>
  <w:style w:type="paragraph" w:customStyle="1" w:styleId="63">
    <w:name w:val="样式 16 小三"/>
    <w:pPr>
      <w:widowControl w:val="0"/>
      <w:jc w:val="both"/>
    </w:pPr>
    <w:rPr>
      <w:rFonts w:ascii="Times New Roman" w:eastAsia="宋体" w:cs="Times New Roman" w:hAnsi="Times New Roman"/>
      <w:kern w:val="2"/>
      <w:sz w:val="30"/>
      <w:szCs w:val="30"/>
      <w:lang w:val="en-US" w:eastAsia="zh-CN" w:bidi="ar-SA"/>
    </w:rPr>
  </w:style>
  <w:style w:type="paragraph" w:customStyle="1" w:styleId="64">
    <w:name w:val="样式 17 小三"/>
    <w:pPr>
      <w:widowControl w:val="0"/>
      <w:jc w:val="both"/>
    </w:pPr>
    <w:rPr>
      <w:rFonts w:ascii="Times New Roman" w:eastAsia="宋体" w:cs="Times New Roman" w:hAnsi="Times New Roman"/>
      <w:kern w:val="2"/>
      <w:sz w:val="30"/>
      <w:szCs w:val="30"/>
      <w:lang w:val="en-US" w:eastAsia="zh-CN" w:bidi="ar-SA"/>
    </w:rPr>
  </w:style>
  <w:style w:type="paragraph" w:customStyle="1" w:styleId="65">
    <w:name w:val="样式 18 小三"/>
    <w:pPr>
      <w:widowControl w:val="0"/>
      <w:jc w:val="both"/>
    </w:pPr>
    <w:rPr>
      <w:rFonts w:ascii="Times New Roman" w:eastAsia="宋体" w:cs="Times New Roman" w:hAnsi="Times New Roman"/>
      <w:kern w:val="2"/>
      <w:sz w:val="30"/>
      <w:szCs w:val="30"/>
      <w:lang w:val="en-US" w:eastAsia="zh-CN" w:bidi="ar-SA"/>
    </w:rPr>
  </w:style>
  <w:style w:type="paragraph" w:customStyle="1" w:styleId="66">
    <w:name w:val="样式 19 小三"/>
    <w:pPr>
      <w:widowControl w:val="0"/>
      <w:jc w:val="both"/>
    </w:pPr>
    <w:rPr>
      <w:rFonts w:ascii="Times New Roman" w:eastAsia="宋体" w:cs="Times New Roman" w:hAnsi="Times New Roman"/>
      <w:kern w:val="2"/>
      <w:sz w:val="30"/>
      <w:szCs w:val="30"/>
      <w:lang w:val="en-US" w:eastAsia="zh-CN" w:bidi="ar-SA"/>
    </w:rPr>
  </w:style>
  <w:style w:type="paragraph" w:customStyle="1" w:styleId="67">
    <w:name w:val="样式 20 小三"/>
    <w:pPr>
      <w:widowControl w:val="0"/>
      <w:jc w:val="both"/>
    </w:pPr>
    <w:rPr>
      <w:rFonts w:ascii="Times New Roman" w:eastAsia="宋体" w:cs="Times New Roman" w:hAnsi="Times New Roman"/>
      <w:kern w:val="2"/>
      <w:sz w:val="30"/>
      <w:szCs w:val="30"/>
      <w:lang w:val="en-US" w:eastAsia="zh-CN" w:bidi="ar-SA"/>
    </w:rPr>
  </w:style>
  <w:style w:type="paragraph" w:styleId="68">
    <w:name w:val="Balloon Text"/>
    <w:basedOn w:val="0"/>
    <w:rPr>
      <w:sz w:val="18"/>
      <w:szCs w:val="18"/>
    </w:rPr>
  </w:style>
  <w:style w:type="paragraph" w:customStyle="1" w:styleId="69">
    <w:name w:val="样式 18 小四"/>
    <w:next w:val="0"/>
    <w:pPr>
      <w:widowControl w:val="0"/>
      <w:snapToGrid w:val="0"/>
      <w:ind w:left="2880"/>
      <w:jc w:val="both"/>
    </w:pPr>
    <w:rPr>
      <w:rFonts w:ascii="Arial" w:eastAsia="宋体" w:cs="Times New Roman" w:hAnsi="Arial"/>
      <w:kern w:val="2"/>
      <w:sz w:val="24"/>
      <w:szCs w:val="30"/>
      <w:lang w:val="en-US" w:eastAsia="zh-CN" w:bidi="ar-SA"/>
    </w:rPr>
  </w:style>
  <w:style w:type="paragraph" w:customStyle="1" w:styleId="70">
    <w:name w:val="样式 5 小四"/>
    <w:next w:val="23"/>
    <w:pPr>
      <w:widowControl w:val="0"/>
      <w:spacing w:before="100" w:beforeAutospacing="1" w:after="100" w:afterAutospacing="1"/>
    </w:pPr>
    <w:rPr>
      <w:rFonts w:ascii="Times New Roman" w:eastAsia="宋体" w:cs="Times New Roman" w:hAnsi="Times New Roman"/>
      <w:sz w:val="24"/>
      <w:szCs w:val="30"/>
      <w:lang w:val="en-US" w:eastAsia="zh-CN" w:bidi="ar-SA"/>
    </w:rPr>
  </w:style>
  <w:style w:type="character" w:customStyle="1" w:styleId="71">
    <w:name w:val="样式  Char"/>
  </w:style>
  <w:style w:type="paragraph" w:customStyle="1" w:styleId="72">
    <w:name w:val="样式 10 磅"/>
    <w:pPr>
      <w:widowControl w:val="0"/>
      <w:jc w:val="both"/>
    </w:pPr>
    <w:rPr>
      <w:rFonts w:ascii="Calibri" w:eastAsia="宋体" w:cs="Arial" w:hAnsi="Calibri"/>
      <w:kern w:val="2"/>
      <w:sz w:val="21"/>
      <w:szCs w:val="22"/>
      <w:lang w:val="en-US" w:eastAsia="zh-CN" w:bidi="ar-SA"/>
    </w:rPr>
  </w:style>
  <w:style w:type="paragraph" w:customStyle="1" w:styleId="73">
    <w:name w:val="样式 2 10 磅"/>
    <w:next w:val="52"/>
    <w:pPr>
      <w:widowControl w:val="0"/>
      <w:jc w:val="both"/>
    </w:pPr>
    <w:rPr>
      <w:rFonts w:ascii="Calibri" w:eastAsia="宋体" w:cs="Arial" w:hAnsi="Calibri"/>
      <w:kern w:val="2"/>
      <w:sz w:val="21"/>
      <w:szCs w:val="22"/>
      <w:lang w:val="en-US" w:eastAsia="zh-CN" w:bidi="ar-SA"/>
    </w:rPr>
  </w:style>
  <w:style w:type="paragraph" w:customStyle="1" w:styleId="74">
    <w:name w:val="样式 70 10 磅"/>
    <w:next w:val="24"/>
    <w:pPr>
      <w:widowControl w:val="0"/>
      <w:jc w:val="both"/>
    </w:pPr>
    <w:rPr>
      <w:rFonts w:ascii="Calibri" w:eastAsia="宋体" w:cs="Arial" w:hAnsi="Calibri"/>
      <w:kern w:val="2"/>
      <w:sz w:val="21"/>
      <w:szCs w:val="22"/>
      <w:lang w:val="en-US" w:eastAsia="zh-CN" w:bidi="ar-SA"/>
    </w:rPr>
  </w:style>
  <w:style w:type="paragraph" w:customStyle="1" w:styleId="75">
    <w:name w:val="样式"/>
    <w:rPr>
      <w:rFonts w:ascii="Times New Roman" w:eastAsia="宋体" w:cs="Times New Roman" w:hAnsi="Times New Roman"/>
      <w:lang w:val="en-US" w:eastAsia="zh-CN" w:bidi="ar-SA"/>
    </w:rPr>
  </w:style>
  <w:style w:type="paragraph" w:customStyle="1" w:styleId="76">
    <w:name w:val="样式 11 三号"/>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77">
    <w:name w:val="样式 14 三号"/>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78">
    <w:name w:val="样式 15 三号"/>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79">
    <w:name w:val="样式 16 三号"/>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80">
    <w:name w:val="样式 17 三号"/>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81">
    <w:name w:val="样式 18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82">
    <w:name w:val="样式 1 10 磅"/>
    <w:pPr>
      <w:widowControl w:val="0"/>
      <w:jc w:val="both"/>
    </w:pPr>
    <w:rPr>
      <w:rFonts w:ascii="Calibri" w:eastAsia="宋体" w:cs="Arial" w:hAnsi="Calibri"/>
      <w:kern w:val="2"/>
      <w:sz w:val="21"/>
      <w:szCs w:val="22"/>
      <w:lang w:val="en-US" w:eastAsia="zh-CN" w:bidi="ar-SA"/>
    </w:rPr>
  </w:style>
  <w:style w:type="paragraph" w:customStyle="1" w:styleId="83">
    <w:name w:val="样式 27 三号"/>
    <w:next w:val="66"/>
    <w:pPr>
      <w:widowControl w:val="0"/>
      <w:spacing w:line="560" w:lineRule="exact"/>
      <w:jc w:val="both"/>
    </w:pPr>
    <w:rPr>
      <w:rFonts w:ascii="Times New Roman" w:eastAsia="方正仿宋_GBK" w:cs="Arial" w:hAnsi="Times New Roman"/>
      <w:kern w:val="2"/>
      <w:sz w:val="32"/>
      <w:szCs w:val="24"/>
      <w:lang w:val="en-US" w:eastAsia="zh-CN" w:bidi="ar-SA"/>
    </w:rPr>
  </w:style>
  <w:style w:type="paragraph" w:customStyle="1" w:styleId="84">
    <w:name w:val="样式 19 三号"/>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85">
    <w:name w:val="样式 3 10 磅"/>
    <w:pPr>
      <w:widowControl w:val="0"/>
      <w:jc w:val="both"/>
    </w:pPr>
    <w:rPr>
      <w:rFonts w:ascii="Times New Roman" w:eastAsia="宋体" w:cs="Times New Roman" w:hAnsi="Times New Roman"/>
      <w:kern w:val="2"/>
      <w:sz w:val="21"/>
      <w:lang w:val="en-US" w:eastAsia="zh-CN" w:bidi="ar-SA"/>
    </w:rPr>
  </w:style>
  <w:style w:type="paragraph" w:customStyle="1" w:styleId="86">
    <w:name w:val="样式 4 10 磅"/>
    <w:pPr>
      <w:widowControl w:val="0"/>
      <w:jc w:val="both"/>
    </w:pPr>
    <w:rPr>
      <w:rFonts w:ascii="Calibri" w:eastAsia="宋体" w:cs="Arial" w:hAnsi="Calibri"/>
      <w:kern w:val="2"/>
      <w:sz w:val="21"/>
      <w:szCs w:val="22"/>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styles" Target="styles.xml"/><Relationship Id="rId6" Type="http://schemas.openxmlformats.org/officeDocument/2006/relationships/numbering" Target="numbering.xml"/><Relationship Id="rId7" Type="http://schemas.openxmlformats.org/officeDocument/2006/relationships/fontTable" Target="fontTable.xml"/></Relationships>
</file>

<file path=docProps/app.xml><?xml version="1.0" encoding="utf-8"?>
<Properties xmlns="http://schemas.openxmlformats.org/officeDocument/2006/extended-properties">
  <Template>Normal.eit</Template>
  <TotalTime>139</TotalTime>
  <Application>Yozo_Office</Application>
  <Pages>5</Pages>
  <Words>1839</Words>
  <Characters>1877</Characters>
  <Lines>408</Lines>
  <Paragraphs>303</Paragraphs>
  <CharactersWithSpaces>1877</CharactersWithSpaces>
  <Company>ccic</Company>
</Properties>
</file>

<file path=docProps/core.xml><?xml version="1.0" encoding="utf-8"?>
<cp:coreProperties xmlns:cp="http://schemas.openxmlformats.org/package/2006/metadata/core-properties" xmlns:dc="http://purl.org/dc/elements/1.1/" xmlns:dcterms="http://purl.org/dc/terms/" xmlns:xsi="http://www.w3.org/2001/XMLSchema-instance">
  <dc:creator>吕大良</dc:creator>
  <cp:lastModifiedBy>刘超</cp:lastModifiedBy>
  <cp:revision>16</cp:revision>
  <cp:lastPrinted>2020-01-22T00:43:00Z</cp:lastPrinted>
  <dcterms:created xsi:type="dcterms:W3CDTF">2025-01-15T01:29:00Z</dcterms:created>
  <dcterms:modified xsi:type="dcterms:W3CDTF">2025-12-11T01:57:55Z</dcterms:modified>
</cp:coreProperties>
</file>