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emf" ContentType="image/emf"/>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rPr>
          <w:b/>
          <w:bCs/>
          <w:sz w:val="84"/>
          <w:szCs w:val="84"/>
        </w:rPr>
      </w:pPr>
      <w:bookmarkStart w:id="0" w:name="_GoBack"/>
      <w:bookmarkEnd w:id="0"/>
    </w:p>
    <w:p>
      <w:pPr>
        <w:autoSpaceDN w:val="0"/>
        <w:rPr>
          <w:b/>
          <w:bCs/>
          <w:sz w:val="84"/>
          <w:szCs w:val="84"/>
        </w:rPr>
      </w:pPr>
    </w:p>
    <w:p>
      <w:pPr>
        <w:autoSpaceDN w:val="0"/>
        <w:rPr>
          <w:b/>
          <w:bCs/>
          <w:sz w:val="84"/>
          <w:szCs w:val="84"/>
        </w:rPr>
      </w:pPr>
    </w:p>
    <w:p>
      <w:pPr>
        <w:autoSpaceDN w:val="0"/>
        <w:jc w:val="center"/>
        <w:rPr>
          <w:rFonts w:ascii="方正小标宋_GBK" w:eastAsia="方正小标宋_GBK"/>
          <w:bCs/>
          <w:sz w:val="84"/>
          <w:szCs w:val="84"/>
        </w:rPr>
      </w:pPr>
      <w:r>
        <w:rPr>
          <w:rFonts w:ascii="方正小标宋_GBK" w:eastAsia="方正小标宋_GBK" w:hint="eastAsia"/>
          <w:bCs/>
          <w:sz w:val="84"/>
          <w:szCs w:val="84"/>
        </w:rPr>
        <w:t>惠州海关</w:t>
      </w:r>
      <w:r>
        <w:rPr>
          <w:rFonts w:eastAsia="方正小标宋_GBK"/>
          <w:bCs/>
          <w:sz w:val="84"/>
          <w:szCs w:val="84"/>
        </w:rPr>
        <w:t>2025年</w:t>
      </w:r>
      <w:r>
        <w:rPr>
          <w:rFonts w:ascii="方正小标宋_GBK" w:eastAsia="方正小标宋_GBK" w:hint="eastAsia"/>
          <w:bCs/>
          <w:sz w:val="84"/>
          <w:szCs w:val="84"/>
        </w:rPr>
        <w:t>度</w:t>
      </w:r>
    </w:p>
    <w:p>
      <w:pPr>
        <w:autoSpaceDN w:val="0"/>
        <w:jc w:val="center"/>
        <w:rPr>
          <w:b/>
          <w:bCs/>
          <w:sz w:val="84"/>
          <w:szCs w:val="84"/>
        </w:rPr>
      </w:pPr>
      <w:r>
        <w:rPr>
          <w:rFonts w:ascii="方正小标宋_GBK" w:eastAsia="方正小标宋_GBK" w:hint="eastAsia"/>
          <w:bCs/>
          <w:sz w:val="84"/>
          <w:szCs w:val="84"/>
        </w:rPr>
        <w:t>部门决算</w:t>
      </w: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b/>
          <w:bCs/>
          <w:sz w:val="84"/>
          <w:szCs w:val="84"/>
        </w:rPr>
      </w:pPr>
    </w:p>
    <w:p>
      <w:pPr>
        <w:autoSpaceDN w:val="0"/>
        <w:jc w:val="center"/>
        <w:rPr>
          <w:rFonts w:ascii="方正黑体_GBK" w:eastAsia="方正黑体_GBK"/>
          <w:bCs/>
          <w:sz w:val="72"/>
          <w:szCs w:val="84"/>
        </w:rPr>
      </w:pPr>
      <w:r>
        <w:rPr>
          <w:rFonts w:ascii="方正黑体_GBK" w:eastAsia="方正黑体_GBK" w:hint="eastAsia"/>
          <w:bCs/>
          <w:sz w:val="72"/>
          <w:szCs w:val="84"/>
        </w:rPr>
        <w:t>目  录</w:t>
      </w:r>
    </w:p>
    <w:p>
      <w:pPr>
        <w:autoSpaceDN w:val="0"/>
        <w:rPr>
          <w:b/>
          <w:bCs/>
          <w:sz w:val="44"/>
          <w:szCs w:val="44"/>
        </w:rPr>
      </w:pPr>
    </w:p>
    <w:p>
      <w:pPr>
        <w:pStyle w:val="63"/>
        <w:tabs>
          <w:tab w:val="right" w:leader="dot" w:pos="8505"/>
        </w:tabs>
        <w:spacing w:line="560" w:lineRule="exact"/>
        <w:rPr>
          <w:rFonts w:ascii="Times New Roman" w:hAnsi="Times New Roman"/>
          <w:sz w:val="32"/>
          <w:szCs w:val="30"/>
        </w:rPr>
      </w:pPr>
      <w:r>
        <w:rPr>
          <w:rFonts w:ascii="方正黑体_GBK" w:eastAsia="方正黑体_GBK" w:hint="eastAsia"/>
          <w:bCs/>
          <w:sz w:val="32"/>
          <w:szCs w:val="30"/>
        </w:rPr>
        <w:t>第一部分  惠州海关概况</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一、部门职责</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二、机构设置</w:t>
      </w:r>
    </w:p>
    <w:p>
      <w:pPr>
        <w:pStyle w:val="63"/>
        <w:tabs>
          <w:tab w:val="right" w:leader="dot" w:pos="8505"/>
        </w:tabs>
        <w:spacing w:line="560" w:lineRule="exact"/>
        <w:rPr>
          <w:rFonts w:ascii="Times New Roman" w:hAnsi="Times New Roman"/>
          <w:sz w:val="32"/>
          <w:szCs w:val="30"/>
        </w:rPr>
      </w:pPr>
      <w:r>
        <w:rPr>
          <w:rFonts w:ascii="方正黑体_GBK" w:eastAsia="方正黑体_GBK"/>
          <w:bCs/>
          <w:sz w:val="32"/>
          <w:szCs w:val="30"/>
        </w:rPr>
        <w:t xml:space="preserve">第二部分 </w:t>
      </w:r>
      <w:r>
        <w:rPr>
          <w:rFonts w:ascii="Times New Roman" w:eastAsia="方正黑体_GBK" w:hAnsi="Times New Roman"/>
          <w:bCs/>
          <w:sz w:val="32"/>
          <w:szCs w:val="30"/>
        </w:rPr>
        <w:t xml:space="preserve"> 2025年</w:t>
      </w:r>
      <w:r>
        <w:rPr>
          <w:rFonts w:ascii="方正黑体_GBK" w:eastAsia="方正黑体_GBK"/>
          <w:bCs/>
          <w:sz w:val="32"/>
          <w:szCs w:val="30"/>
        </w:rPr>
        <w:t>度部门决算表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一、收入支出决算总表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二、收入决算表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三、支出决算表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四、财政拨款收入支出决算总表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五、一般公共预算财政拨款支出决算表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六、一般公共预算财政拨款基本支出决算明细表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七、政府性基金预算财政拨款收入支出决算表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八、国有资本经营预算财政拨款支出决算表</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九、财政拨款</w:t>
      </w:r>
      <w:r>
        <w:rPr>
          <w:rFonts w:ascii="方正仿宋_GBK" w:eastAsia="方正仿宋_GBK" w:hint="eastAsia"/>
          <w:sz w:val="32"/>
          <w:szCs w:val="30"/>
        </w:rPr>
        <w:t>“三公”</w:t>
      </w:r>
      <w:r>
        <w:rPr>
          <w:rFonts w:ascii="Times New Roman" w:eastAsia="方正仿宋_GBK" w:hAnsi="Times New Roman"/>
          <w:sz w:val="32"/>
          <w:szCs w:val="30"/>
        </w:rPr>
        <w:t>经费支出决算表</w:t>
      </w:r>
    </w:p>
    <w:p>
      <w:pPr>
        <w:pStyle w:val="63"/>
        <w:tabs>
          <w:tab w:val="right" w:leader="dot" w:pos="8505"/>
        </w:tabs>
        <w:spacing w:line="560" w:lineRule="exact"/>
        <w:rPr>
          <w:rFonts w:ascii="Times New Roman" w:hAnsi="Times New Roman"/>
          <w:sz w:val="32"/>
          <w:szCs w:val="30"/>
        </w:rPr>
      </w:pPr>
      <w:r>
        <w:rPr>
          <w:rFonts w:ascii="方正黑体_GBK" w:eastAsia="方正黑体_GBK"/>
          <w:bCs/>
          <w:sz w:val="32"/>
          <w:szCs w:val="30"/>
        </w:rPr>
        <w:t xml:space="preserve">第三部分  </w:t>
      </w:r>
      <w:r>
        <w:rPr>
          <w:rFonts w:ascii="Times New Roman" w:eastAsia="方正黑体_GBK" w:hAnsi="Times New Roman"/>
          <w:bCs/>
          <w:sz w:val="32"/>
          <w:szCs w:val="30"/>
        </w:rPr>
        <w:t>2025年</w:t>
      </w:r>
      <w:r>
        <w:rPr>
          <w:rFonts w:ascii="方正黑体_GBK" w:eastAsia="方正黑体_GBK"/>
          <w:bCs/>
          <w:sz w:val="32"/>
          <w:szCs w:val="30"/>
        </w:rPr>
        <w:t>度部门决算</w:t>
      </w:r>
      <w:r>
        <w:rPr>
          <w:rFonts w:ascii="方正黑体_GBK" w:eastAsia="方正黑体_GBK" w:hint="eastAsia"/>
          <w:bCs/>
          <w:sz w:val="32"/>
          <w:szCs w:val="30"/>
        </w:rPr>
        <w:t>表</w:t>
      </w:r>
      <w:r>
        <w:rPr>
          <w:rFonts w:ascii="方正黑体_GBK" w:eastAsia="方正黑体_GBK"/>
          <w:bCs/>
          <w:sz w:val="32"/>
          <w:szCs w:val="30"/>
        </w:rPr>
        <w:t>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一、收入支出决算总体情况说明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二、收入决算情况说明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三、支出决算情况说明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四、财政拨款收入支出</w:t>
      </w:r>
      <w:r>
        <w:rPr>
          <w:rFonts w:ascii="Times New Roman" w:eastAsia="方正仿宋_GBK" w:hAnsi="Times New Roman" w:hint="eastAsia"/>
          <w:sz w:val="32"/>
          <w:szCs w:val="30"/>
        </w:rPr>
        <w:t>决算</w:t>
      </w:r>
      <w:r>
        <w:rPr>
          <w:rFonts w:ascii="Times New Roman" w:eastAsia="方正仿宋_GBK" w:hAnsi="Times New Roman"/>
          <w:sz w:val="32"/>
          <w:szCs w:val="30"/>
        </w:rPr>
        <w:t>总体情况说明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五、一般公共预算财政拨款支出决算情况说明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六、一般公共预算财政拨款基本支出决算情况说明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七、财政拨款“三公”经费支出决算情况说明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八、机关运行经费支出说明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九、政府采购支出说明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十、国有资产占用情况说明</w:t>
      </w:r>
    </w:p>
    <w:p>
      <w:pPr>
        <w:pStyle w:val="63"/>
        <w:tabs>
          <w:tab w:val="right" w:leader="dot" w:pos="8505"/>
        </w:tabs>
        <w:spacing w:line="560" w:lineRule="exact"/>
        <w:rPr>
          <w:rFonts w:ascii="Times New Roman" w:hAnsi="Times New Roman"/>
          <w:sz w:val="32"/>
          <w:szCs w:val="30"/>
        </w:rPr>
      </w:pPr>
      <w:r>
        <w:rPr>
          <w:rFonts w:ascii="Times New Roman" w:eastAsia="方正仿宋_GBK" w:hAnsi="Times New Roman"/>
          <w:sz w:val="32"/>
          <w:szCs w:val="30"/>
        </w:rPr>
        <w:t>十一、</w:t>
      </w:r>
      <w:r>
        <w:rPr>
          <w:rFonts w:ascii="Times New Roman" w:eastAsia="方正仿宋_GBK" w:hAnsi="Times New Roman" w:hint="eastAsia"/>
          <w:sz w:val="32"/>
          <w:szCs w:val="30"/>
        </w:rPr>
        <w:t>关于2025年度</w:t>
      </w:r>
      <w:r>
        <w:rPr>
          <w:rFonts w:ascii="Times New Roman" w:eastAsia="方正仿宋_GBK" w:hAnsi="Times New Roman"/>
          <w:sz w:val="32"/>
          <w:szCs w:val="30"/>
        </w:rPr>
        <w:t>绩效</w:t>
      </w:r>
      <w:r>
        <w:rPr>
          <w:rFonts w:ascii="Times New Roman" w:eastAsia="方正仿宋_GBK" w:hAnsi="Times New Roman" w:hint="eastAsia"/>
          <w:sz w:val="32"/>
          <w:szCs w:val="30"/>
        </w:rPr>
        <w:t>评价</w:t>
      </w:r>
      <w:r>
        <w:rPr>
          <w:rFonts w:ascii="Times New Roman" w:eastAsia="方正仿宋_GBK" w:hAnsi="Times New Roman"/>
          <w:sz w:val="32"/>
          <w:szCs w:val="30"/>
        </w:rPr>
        <w:t>情况</w:t>
      </w:r>
      <w:r>
        <w:rPr>
          <w:rFonts w:ascii="Times New Roman" w:eastAsia="方正仿宋_GBK" w:hAnsi="Times New Roman" w:hint="eastAsia"/>
          <w:sz w:val="32"/>
          <w:szCs w:val="30"/>
        </w:rPr>
        <w:t>的</w:t>
      </w:r>
      <w:r>
        <w:rPr>
          <w:rFonts w:ascii="Times New Roman" w:eastAsia="方正仿宋_GBK" w:hAnsi="Times New Roman"/>
          <w:sz w:val="32"/>
          <w:szCs w:val="30"/>
        </w:rPr>
        <w:t>说明</w:t>
      </w:r>
    </w:p>
    <w:p>
      <w:pPr>
        <w:pStyle w:val="63"/>
        <w:tabs>
          <w:tab w:val="right" w:leader="dot" w:pos="8505"/>
        </w:tabs>
        <w:spacing w:line="560" w:lineRule="exact"/>
        <w:rPr>
          <w:rFonts w:ascii="方正黑体_GBK" w:eastAsia="方正黑体_GBK"/>
          <w:bCs/>
          <w:sz w:val="32"/>
          <w:szCs w:val="30"/>
        </w:rPr>
      </w:pPr>
      <w:r>
        <w:rPr>
          <w:rFonts w:ascii="方正黑体_GBK" w:eastAsia="方正黑体_GBK"/>
          <w:bCs/>
          <w:sz w:val="32"/>
          <w:szCs w:val="30"/>
        </w:rPr>
        <w:t>第四部分  名词解释</w:t>
      </w:r>
    </w:p>
    <w:p>
      <w:r>
        <w:rPr>
          <w:rFonts w:ascii="方正黑体_GBK" w:eastAsia="方正黑体_GBK" w:hint="eastAsia"/>
          <w:bCs/>
          <w:sz w:val="32"/>
          <w:szCs w:val="30"/>
        </w:rPr>
        <w:t>第五部分  附件</w:t>
      </w:r>
    </w:p>
    <w:p>
      <w:pPr>
        <w:autoSpaceDN w:val="0"/>
        <w:rPr>
          <w:rFonts w:eastAsia="方正黑体_GBK"/>
          <w:sz w:val="44"/>
          <w:szCs w:val="44"/>
        </w:rPr>
      </w:pPr>
    </w:p>
    <w:p>
      <w:pPr>
        <w:autoSpaceDN w:val="0"/>
        <w:spacing w:line="560" w:lineRule="exact"/>
        <w:ind w:firstLineChars="300" w:firstLine="630"/>
        <w:sectPr>
          <w:footerReference w:type="default" r:id="rId2"/>
          <w:pgSz w:w="11907" w:h="16840"/>
          <w:pgMar w:top="1440" w:right="1701" w:bottom="1440" w:left="1701" w:header="851" w:footer="992" w:gutter="0"/>
          <w:docGrid w:linePitch="312" w:charSpace="0"/>
        </w:sectPr>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方正黑体_GBK" w:eastAsia="方正黑体_GBK"/>
          <w:sz w:val="52"/>
          <w:szCs w:val="52"/>
        </w:rPr>
      </w:pPr>
      <w:r>
        <w:rPr>
          <w:rFonts w:ascii="方正黑体_GBK" w:eastAsia="方正黑体_GBK" w:cs="黑体" w:hint="eastAsia"/>
          <w:kern w:val="0"/>
          <w:sz w:val="52"/>
          <w:szCs w:val="52"/>
        </w:rPr>
        <w:t>第一部分  惠州海关概况</w:t>
      </w: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960"/>
        <w:rPr>
          <w:rFonts w:eastAsia="方正黑体_GBK"/>
          <w:sz w:val="32"/>
          <w:szCs w:val="32"/>
        </w:rPr>
      </w:pPr>
      <w:r>
        <w:rPr>
          <w:rFonts w:eastAsia="方正黑体_GBK" w:hint="eastAsia"/>
          <w:sz w:val="32"/>
          <w:szCs w:val="32"/>
        </w:rPr>
        <w:t>一、部门职责</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sz w:val="32"/>
          <w:szCs w:val="32"/>
        </w:rPr>
        <w:t>惠州海关是受</w:t>
      </w:r>
      <w:r>
        <w:rPr>
          <w:rFonts w:eastAsia="方正仿宋_GBK" w:hint="eastAsia"/>
          <w:sz w:val="32"/>
          <w:szCs w:val="32"/>
        </w:rPr>
        <w:t>深圳海关</w:t>
      </w:r>
      <w:r>
        <w:rPr>
          <w:rFonts w:eastAsia="方正仿宋_GBK"/>
          <w:sz w:val="32"/>
          <w:szCs w:val="32"/>
        </w:rPr>
        <w:t>直接领导，负责指定口岸及相关区域范围内海关工</w:t>
      </w:r>
      <w:r>
        <w:rPr>
          <w:rFonts w:eastAsia="方正仿宋_GBK" w:hint="eastAsia"/>
          <w:color w:val="000000"/>
          <w:kern w:val="0"/>
          <w:sz w:val="32"/>
          <w:szCs w:val="32"/>
        </w:rPr>
        <w:t>作运行管理、监督监控的</w:t>
      </w:r>
      <w:r>
        <w:rPr>
          <w:rFonts w:eastAsia="方正仿宋_GBK"/>
          <w:kern w:val="0"/>
          <w:sz w:val="32"/>
          <w:szCs w:val="32"/>
        </w:rPr>
        <w:t>三</w:t>
      </w:r>
      <w:r>
        <w:rPr>
          <w:rFonts w:eastAsia="方正仿宋_GBK" w:hint="eastAsia"/>
          <w:kern w:val="0"/>
          <w:sz w:val="32"/>
          <w:szCs w:val="32"/>
        </w:rPr>
        <w:t>级</w:t>
      </w:r>
      <w:r>
        <w:rPr>
          <w:rFonts w:eastAsia="方正仿宋_GBK" w:hint="eastAsia"/>
          <w:color w:val="000000"/>
          <w:kern w:val="0"/>
          <w:sz w:val="32"/>
          <w:szCs w:val="32"/>
        </w:rPr>
        <w:t>隶属海关。惠州海关管辖范围包括惠城区、惠阳区、仲恺高新区、博罗县、龙门县共“三区两县”，监管面积7694平方公里，业务涵盖加工贸易、一般贸易、外勤稽核查、检验检疫等多个门类，是一个以加工贸易监管为主的偏属地综合型海关。</w:t>
      </w:r>
      <w:r>
        <w:rPr>
          <w:rFonts w:eastAsia="方正仿宋_GBK" w:hint="eastAsia"/>
          <w:sz w:val="32"/>
          <w:szCs w:val="32"/>
        </w:rPr>
        <w:t>依据《中华人民共和国</w:t>
      </w:r>
      <w:r>
        <w:rPr>
          <w:rFonts w:eastAsia="方正仿宋_GBK" w:hint="eastAsia"/>
          <w:color w:val="000000"/>
          <w:kern w:val="0"/>
          <w:sz w:val="32"/>
          <w:szCs w:val="32"/>
        </w:rPr>
        <w:t>海关法》等有关法律法规履行下列职责：</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hint="eastAsia"/>
          <w:color w:val="000000"/>
          <w:kern w:val="0"/>
          <w:sz w:val="32"/>
          <w:szCs w:val="32"/>
        </w:rPr>
        <w:t>（一）负责本关区贯彻落实党中央、国务院关于海关工作的方针政策和决策部署，在履行职责过程中坚持和加强党对海关工作的集中统一领导，履行全面从严治党主体责任。</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hint="eastAsia"/>
          <w:color w:val="000000"/>
          <w:kern w:val="0"/>
          <w:sz w:val="32"/>
          <w:szCs w:val="32"/>
        </w:rPr>
        <w:t>（二）负责贯彻执行与海关管理相关的法律、法规、规章、规范性文件和相关技术规范，负责本关区征税、监管、缉私、出入境检验检疫、统计等工作。</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hint="eastAsia"/>
          <w:color w:val="000000"/>
          <w:kern w:val="0"/>
          <w:sz w:val="32"/>
          <w:szCs w:val="32"/>
        </w:rPr>
        <w:t>（三）监控研判本关区各类执法风险、管理风险和廉政风险并组织防范和化解，负责本关区基层党组织建设、队伍建设和日常管理工作。</w:t>
      </w:r>
    </w:p>
    <w:p>
      <w:pPr>
        <w:autoSpaceDN w:val="0"/>
        <w:spacing w:line="560" w:lineRule="exact"/>
        <w:ind w:firstLineChars="200" w:firstLine="640"/>
        <w:rPr>
          <w:rFonts w:eastAsia="方正仿宋_GBK" w:cs="方正仿宋_GBK"/>
          <w:sz w:val="32"/>
          <w:szCs w:val="32"/>
          <w:lang w:val="zh-TW"/>
        </w:rPr>
      </w:pPr>
      <w:r>
        <w:rPr>
          <w:rFonts w:eastAsia="方正仿宋_GBK" w:hint="eastAsia"/>
          <w:color w:val="000000"/>
          <w:kern w:val="0"/>
          <w:sz w:val="32"/>
          <w:szCs w:val="32"/>
        </w:rPr>
        <w:t>（四）完成深圳海关交办的其他工作。</w:t>
      </w:r>
    </w:p>
    <w:p>
      <w:pPr>
        <w:autoSpaceDN w:val="0"/>
        <w:spacing w:line="560" w:lineRule="exact"/>
        <w:ind w:firstLineChars="200" w:firstLine="640"/>
        <w:rPr>
          <w:rFonts w:eastAsia="方正黑体_GBK"/>
          <w:sz w:val="32"/>
          <w:szCs w:val="32"/>
        </w:rPr>
      </w:pPr>
      <w:r>
        <w:rPr>
          <w:rFonts w:eastAsia="方正黑体_GBK" w:hint="eastAsia"/>
          <w:sz w:val="32"/>
          <w:szCs w:val="32"/>
        </w:rPr>
        <w:t>二、机构设置</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color w:val="000000"/>
          <w:kern w:val="0"/>
          <w:sz w:val="32"/>
          <w:szCs w:val="32"/>
        </w:rPr>
        <w:t>惠州海关内设</w:t>
      </w:r>
      <w:r>
        <w:rPr>
          <w:rFonts w:eastAsia="方正仿宋_GBK" w:hint="eastAsia"/>
          <w:color w:val="000000"/>
          <w:kern w:val="0"/>
          <w:sz w:val="32"/>
          <w:szCs w:val="32"/>
        </w:rPr>
        <w:t>科室</w:t>
      </w:r>
      <w:r>
        <w:rPr>
          <w:rFonts w:eastAsia="方正仿宋_GBK"/>
          <w:color w:val="000000"/>
          <w:kern w:val="0"/>
          <w:sz w:val="32"/>
          <w:szCs w:val="32"/>
        </w:rPr>
        <w:t>19个：</w:t>
      </w:r>
      <w:r>
        <w:rPr>
          <w:rFonts w:eastAsia="方正仿宋_GBK" w:hint="eastAsia"/>
          <w:color w:val="000000"/>
          <w:kern w:val="0"/>
          <w:sz w:val="32"/>
          <w:szCs w:val="32"/>
        </w:rPr>
        <w:t>办公室（党委办公室）</w:t>
      </w:r>
      <w:r>
        <w:rPr>
          <w:rFonts w:eastAsia="方正仿宋_GBK"/>
          <w:color w:val="000000"/>
          <w:kern w:val="0"/>
          <w:sz w:val="32"/>
          <w:szCs w:val="32"/>
        </w:rPr>
        <w:t>、人事政工科（党委组织宣传部）、综合保障科、综合业务科、稽核查一科、稽核查二科、稽核查三科、审核科、企业认证科、</w:t>
      </w:r>
      <w:r>
        <w:rPr>
          <w:rFonts w:eastAsia="方正仿宋_GBK" w:hint="eastAsia"/>
          <w:color w:val="000000"/>
          <w:kern w:val="0"/>
          <w:sz w:val="32"/>
          <w:szCs w:val="32"/>
        </w:rPr>
        <w:t>查检一科、查检二科、查检三科</w:t>
      </w:r>
      <w:r>
        <w:rPr>
          <w:rFonts w:eastAsia="方正仿宋_GBK"/>
          <w:color w:val="000000"/>
          <w:kern w:val="0"/>
          <w:sz w:val="32"/>
          <w:szCs w:val="32"/>
        </w:rPr>
        <w:t>、查验科、快件监管科，驻淡水办事处（监管一科、监管二科）、驻博罗办事处（监管一科、监管二科、监管三科）。</w:t>
      </w:r>
    </w:p>
    <w:p>
      <w:pPr>
        <w:shd w:val="clear" w:color="auto" w:fill="FFFFFF"/>
        <w:wordWrap w:val="0"/>
        <w:adjustRightInd w:val="0"/>
        <w:snapToGrid w:val="0"/>
        <w:spacing w:line="560" w:lineRule="exact"/>
        <w:ind w:firstLineChars="200" w:firstLine="640"/>
        <w:rPr>
          <w:rFonts w:eastAsia="方正仿宋_GBK"/>
          <w:color w:val="000000"/>
          <w:kern w:val="0"/>
          <w:sz w:val="32"/>
          <w:szCs w:val="32"/>
        </w:rPr>
      </w:pPr>
      <w:r>
        <w:rPr>
          <w:rFonts w:eastAsia="方正仿宋_GBK" w:hint="eastAsia"/>
          <w:color w:val="000000"/>
          <w:kern w:val="0"/>
          <w:sz w:val="32"/>
          <w:szCs w:val="32"/>
        </w:rPr>
        <w:t>纳入惠州海关2025年</w:t>
      </w:r>
      <w:r>
        <w:rPr>
          <w:rFonts w:eastAsia="方正仿宋_GBK"/>
          <w:color w:val="000000"/>
          <w:kern w:val="0"/>
          <w:sz w:val="32"/>
          <w:szCs w:val="32"/>
        </w:rPr>
        <w:t>度</w:t>
      </w:r>
      <w:r>
        <w:rPr>
          <w:rFonts w:eastAsia="方正仿宋_GBK" w:hint="eastAsia"/>
          <w:color w:val="000000"/>
          <w:kern w:val="0"/>
          <w:sz w:val="32"/>
          <w:szCs w:val="32"/>
        </w:rPr>
        <w:t>部门决算编制范围的单位（含独立编报部门决算的单户）详细情况见下表：</w:t>
      </w:r>
    </w:p>
    <w:p>
      <w:pPr>
        <w:widowControl/>
        <w:autoSpaceDN w:val="0"/>
        <w:ind w:firstLineChars="200" w:firstLine="640"/>
        <w:jc w:val="left"/>
        <w:rPr>
          <w:rFonts w:eastAsia="方正仿宋_GBK"/>
          <w:sz w:val="32"/>
          <w:szCs w:val="32"/>
        </w:rPr>
      </w:pPr>
    </w:p>
    <w:p>
      <w:pPr>
        <w:widowControl/>
        <w:autoSpaceDN w:val="0"/>
        <w:ind w:firstLineChars="200" w:firstLine="640"/>
        <w:jc w:val="left"/>
        <w:rPr>
          <w:rFonts w:eastAsia="方正仿宋_GBK"/>
          <w:sz w:val="32"/>
          <w:szCs w:val="32"/>
        </w:rPr>
      </w:pPr>
    </w:p>
    <w:tbl>
      <w:tblPr>
        <w:jc w:val="left"/>
        <w:tblBorders>
          <w:top w:val="single" w:sz="4" w:space="0" w:color="auto"/>
          <w:left w:val="single" w:sz="4" w:space="0" w:color="auto"/>
          <w:bottom w:val="single" w:sz="4" w:space="0" w:color="auto"/>
          <w:right w:val="single" w:sz="4" w:space="0" w:color="auto"/>
        </w:tblBorders>
        <w:tblLayout w:type="fixed"/>
        <w:tblCellMar>
          <w:top w:w="0" w:type="dxa"/>
          <w:left w:w="108" w:type="dxa"/>
          <w:bottom w:w="0" w:type="dxa"/>
          <w:right w:w="108" w:type="dxa"/>
        </w:tblCellMar>
      </w:tblPr>
      <w:tblGrid>
        <w:gridCol w:w="581"/>
        <w:gridCol w:w="8032"/>
      </w:tblGrid>
      <w:tr>
        <w:trPr>
          <w:trHeight w:val="510"/>
        </w:trPr>
        <w:tc>
          <w:tcPr>
            <w:tcW w:w="581"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color w:val="000000"/>
                <w:sz w:val="24"/>
              </w:rPr>
            </w:pPr>
            <w:r>
              <w:rPr>
                <w:rFonts w:eastAsia="方正仿宋_GBK"/>
                <w:color w:val="000000"/>
                <w:sz w:val="24"/>
              </w:rPr>
              <w:t>序号</w:t>
            </w:r>
          </w:p>
        </w:tc>
        <w:tc>
          <w:tcPr>
            <w:tcW w:w="8032"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color w:val="000000"/>
                <w:sz w:val="24"/>
              </w:rPr>
            </w:pPr>
            <w:r>
              <w:rPr>
                <w:rFonts w:eastAsia="方正仿宋_GBK"/>
                <w:color w:val="000000"/>
                <w:sz w:val="24"/>
              </w:rPr>
              <w:t>单位</w:t>
            </w:r>
          </w:p>
        </w:tc>
      </w:tr>
      <w:tr>
        <w:trPr>
          <w:trHeight w:val="510"/>
        </w:trPr>
        <w:tc>
          <w:tcPr>
            <w:tcW w:w="581"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color w:val="000000"/>
                <w:sz w:val="24"/>
              </w:rPr>
            </w:pPr>
            <w:r>
              <w:rPr>
                <w:rFonts w:eastAsia="方正仿宋_GBK"/>
                <w:color w:val="000000"/>
                <w:sz w:val="24"/>
              </w:rPr>
              <w:t>1</w:t>
            </w:r>
          </w:p>
        </w:tc>
        <w:tc>
          <w:tcPr>
            <w:tcW w:w="8032"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sz w:val="24"/>
              </w:rPr>
            </w:pPr>
            <w:r>
              <w:rPr>
                <w:rFonts w:eastAsia="方正仿宋_GBK"/>
                <w:sz w:val="24"/>
              </w:rPr>
              <w:t>中华人民共和国惠州海关本级</w:t>
            </w:r>
          </w:p>
        </w:tc>
      </w:tr>
      <w:tr>
        <w:trPr>
          <w:trHeight w:val="510"/>
        </w:trPr>
        <w:tc>
          <w:tcPr>
            <w:tcW w:w="581"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color w:val="000000"/>
                <w:sz w:val="24"/>
              </w:rPr>
            </w:pPr>
            <w:r>
              <w:rPr>
                <w:rFonts w:eastAsia="方正仿宋_GBK"/>
                <w:color w:val="000000"/>
                <w:sz w:val="24"/>
              </w:rPr>
              <w:t>2</w:t>
            </w:r>
          </w:p>
        </w:tc>
        <w:tc>
          <w:tcPr>
            <w:tcW w:w="8032"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sz w:val="24"/>
              </w:rPr>
            </w:pPr>
            <w:r>
              <w:rPr>
                <w:rFonts w:eastAsia="方正仿宋_GBK"/>
                <w:sz w:val="24"/>
              </w:rPr>
              <w:t>惠州海关综合技术中心（惠州国际旅行卫生保健中心、惠州海关口岸门诊部）</w:t>
            </w:r>
          </w:p>
        </w:tc>
      </w:tr>
      <w:tr>
        <w:trPr>
          <w:trHeight w:val="510"/>
        </w:trPr>
        <w:tc>
          <w:tcPr>
            <w:tcW w:w="581"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color w:val="000000"/>
                <w:sz w:val="24"/>
              </w:rPr>
            </w:pPr>
            <w:r>
              <w:rPr>
                <w:rFonts w:eastAsia="方正仿宋_GBK"/>
                <w:color w:val="000000"/>
                <w:sz w:val="24"/>
              </w:rPr>
              <w:t>3</w:t>
            </w:r>
          </w:p>
        </w:tc>
        <w:tc>
          <w:tcPr>
            <w:tcW w:w="8032" w:type="dxa"/>
            <w:tcBorders>
              <w:top w:val="single" w:sz="4" w:space="0" w:color="auto"/>
              <w:left w:val="single" w:sz="4" w:space="0" w:color="auto"/>
              <w:bottom w:val="single" w:sz="4" w:space="0" w:color="auto"/>
              <w:right w:val="single" w:sz="4" w:space="0" w:color="auto"/>
            </w:tcBorders>
            <w:noWrap/>
            <w:vAlign w:val="center"/>
          </w:tcPr>
          <w:p>
            <w:pPr>
              <w:pStyle w:val="60"/>
              <w:autoSpaceDN w:val="0"/>
              <w:jc w:val="center"/>
              <w:rPr>
                <w:rFonts w:eastAsia="方正仿宋_GBK"/>
                <w:sz w:val="24"/>
              </w:rPr>
            </w:pPr>
            <w:r>
              <w:rPr>
                <w:rFonts w:eastAsia="方正仿宋_GBK"/>
                <w:sz w:val="24"/>
              </w:rPr>
              <w:t>惠州海关后勤管理中心</w:t>
            </w:r>
          </w:p>
        </w:tc>
      </w:tr>
    </w:tbl>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autoSpaceDN w:val="0"/>
        <w:spacing w:line="560" w:lineRule="exact"/>
        <w:jc w:val="center"/>
        <w:rPr>
          <w:rFonts w:ascii="方正黑体_GBK" w:eastAsia="方正黑体_GBK"/>
          <w:sz w:val="52"/>
          <w:szCs w:val="52"/>
        </w:rPr>
      </w:pPr>
      <w:r>
        <w:rPr>
          <w:rFonts w:ascii="方正黑体_GBK" w:eastAsia="方正黑体_GBK" w:cs="黑体" w:hint="eastAsia"/>
          <w:kern w:val="0"/>
          <w:sz w:val="52"/>
          <w:szCs w:val="52"/>
        </w:rPr>
        <w:t xml:space="preserve">第二部分  </w:t>
      </w:r>
      <w:r>
        <w:rPr>
          <w:rFonts w:eastAsia="方正黑体_GBK"/>
          <w:kern w:val="0"/>
          <w:sz w:val="52"/>
          <w:szCs w:val="52"/>
        </w:rPr>
        <w:t>2025年</w:t>
      </w:r>
      <w:r>
        <w:rPr>
          <w:rFonts w:ascii="方正黑体_GBK" w:eastAsia="方正黑体_GBK" w:cs="黑体" w:hint="eastAsia"/>
          <w:kern w:val="0"/>
          <w:sz w:val="52"/>
          <w:szCs w:val="52"/>
        </w:rPr>
        <w:t>度部门决算表</w:t>
      </w:r>
    </w:p>
    <w:p>
      <w:pPr>
        <w:widowControl/>
        <w:autoSpaceDN w:val="0"/>
        <w:ind w:firstLineChars="200" w:firstLine="640"/>
        <w:jc w:val="left"/>
        <w:rPr>
          <w:rFonts w:eastAsia="方正黑体_GBK" w:cs="Arial"/>
          <w:kern w:val="0"/>
          <w:sz w:val="32"/>
          <w:szCs w:val="32"/>
        </w:rPr>
      </w:pPr>
    </w:p>
    <w:p>
      <w:pPr>
        <w:widowControl/>
        <w:autoSpaceDN w:val="0"/>
        <w:ind w:firstLineChars="200" w:firstLine="640"/>
        <w:jc w:val="left"/>
        <w:rPr>
          <w:rFonts w:eastAsia="方正黑体_GBK" w:cs="Arial"/>
          <w:kern w:val="0"/>
          <w:sz w:val="32"/>
          <w:szCs w:val="32"/>
        </w:rPr>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sectPr>
          <w:footerReference w:type="default" r:id="rId3"/>
          <w:pgSz w:w="11907" w:h="16840"/>
          <w:pgMar w:top="1440" w:right="1701" w:bottom="1440" w:left="1701" w:header="851" w:footer="992" w:gutter="0"/>
          <w:pgNumType w:start="1"/>
          <w:docGrid w:linePitch="312" w:charSpace="0"/>
        </w:sectPr>
      </w:pPr>
    </w:p>
    <w:tbl>
      <w:tblPr>
        <w:jc w:val="left"/>
        <w:tblInd w:w="93" w:type="dxa"/>
        <w:tblW w:w="1404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842"/>
        <w:gridCol w:w="732"/>
        <w:gridCol w:w="1773"/>
        <w:gridCol w:w="3815"/>
        <w:gridCol w:w="732"/>
        <w:gridCol w:w="2155"/>
      </w:tblGrid>
      <w:tr>
        <w:trPr>
          <w:trHeight w:val="390"/>
        </w:trPr>
        <w:tc>
          <w:tcPr>
            <w:tcW w:w="14049" w:type="dxa"/>
            <w:gridSpan w:val="6"/>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收入支出决算总表</w:t>
            </w:r>
          </w:p>
        </w:tc>
      </w:tr>
      <w:tr>
        <w:trPr>
          <w:trHeight w:val="255"/>
        </w:trPr>
        <w:tc>
          <w:tcPr>
            <w:tcW w:w="484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73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7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81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73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55"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公开01表</w:t>
            </w:r>
          </w:p>
        </w:tc>
      </w:tr>
      <w:tr>
        <w:trPr>
          <w:trHeight w:val="255"/>
        </w:trPr>
        <w:tc>
          <w:tcPr>
            <w:tcW w:w="4842" w:type="dxa"/>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73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7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81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73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55"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62"/>
        </w:trPr>
        <w:tc>
          <w:tcPr>
            <w:tcW w:w="7347"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收入</w:t>
            </w:r>
          </w:p>
        </w:tc>
        <w:tc>
          <w:tcPr>
            <w:tcW w:w="6702" w:type="dxa"/>
            <w:gridSpan w:val="3"/>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支出</w:t>
            </w:r>
          </w:p>
        </w:tc>
      </w:tr>
      <w:tr>
        <w:trPr>
          <w:trHeight w:val="411"/>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行次</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金额</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行次</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金额</w:t>
            </w:r>
          </w:p>
        </w:tc>
      </w:tr>
      <w:tr>
        <w:trPr>
          <w:trHeight w:val="416"/>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　</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　</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r>
      <w:tr>
        <w:trPr>
          <w:trHeight w:val="421"/>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一、一般公共预算财政拨款收入</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2053.80</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一、一般公共服务支出</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9</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3005.27</w:t>
            </w:r>
          </w:p>
        </w:tc>
      </w:tr>
      <w:tr>
        <w:trPr>
          <w:trHeight w:val="399"/>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kern w:val="0"/>
                <w:sz w:val="22"/>
                <w:szCs w:val="22"/>
              </w:rPr>
              <w:t>二</w:t>
            </w:r>
            <w:r>
              <w:rPr>
                <w:rFonts w:ascii="宋体" w:cs="Arial" w:hint="eastAsia"/>
                <w:kern w:val="0"/>
                <w:sz w:val="22"/>
                <w:szCs w:val="22"/>
              </w:rPr>
              <w:t>、</w:t>
            </w:r>
            <w:r>
              <w:rPr>
                <w:rFonts w:ascii="宋体" w:cs="Arial"/>
                <w:kern w:val="0"/>
                <w:sz w:val="22"/>
                <w:szCs w:val="22"/>
              </w:rPr>
              <w:t>政府性基金预算财政拨款收入</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3815" w:type="dxa"/>
            <w:tcBorders>
              <w:top w:val="nil"/>
              <w:left w:val="nil"/>
              <w:bottom w:val="single" w:sz="4" w:space="0" w:color="000000"/>
              <w:right w:val="single" w:sz="4" w:space="0" w:color="000000"/>
            </w:tcBorders>
            <w:shd w:val="clear" w:color="auto" w:fill="auto"/>
            <w:noWrap/>
            <w:vAlign w:val="center"/>
          </w:tcPr>
          <w:p>
            <w:pPr>
              <w:pStyle w:val="70"/>
              <w:widowControl/>
              <w:jc w:val="left"/>
              <w:rPr>
                <w:rFonts w:ascii="宋体" w:cs="Arial"/>
                <w:kern w:val="0"/>
                <w:sz w:val="22"/>
                <w:szCs w:val="22"/>
              </w:rPr>
            </w:pPr>
            <w:r>
              <w:rPr>
                <w:rFonts w:ascii="宋体" w:cs="Arial"/>
                <w:kern w:val="0"/>
                <w:sz w:val="22"/>
                <w:szCs w:val="22"/>
              </w:rPr>
              <w:t>二</w:t>
            </w:r>
            <w:r>
              <w:rPr>
                <w:rFonts w:ascii="宋体" w:cs="Arial" w:hint="eastAsia"/>
                <w:kern w:val="0"/>
                <w:sz w:val="22"/>
                <w:szCs w:val="22"/>
              </w:rPr>
              <w:t>、社会保障和就业支出</w:t>
            </w:r>
          </w:p>
        </w:tc>
        <w:tc>
          <w:tcPr>
            <w:tcW w:w="732" w:type="dxa"/>
            <w:tcBorders>
              <w:top w:val="nil"/>
              <w:left w:val="nil"/>
              <w:bottom w:val="single" w:sz="4" w:space="0" w:color="000000"/>
              <w:right w:val="single" w:sz="4" w:space="0" w:color="000000"/>
            </w:tcBorders>
            <w:shd w:val="clear" w:color="auto" w:fill="auto"/>
            <w:noWrap/>
            <w:vAlign w:val="center"/>
          </w:tcPr>
          <w:p>
            <w:pPr>
              <w:pStyle w:val="71"/>
              <w:widowControl/>
              <w:jc w:val="center"/>
              <w:rPr>
                <w:rFonts w:ascii="宋体" w:cs="Arial"/>
                <w:kern w:val="0"/>
                <w:sz w:val="22"/>
                <w:szCs w:val="22"/>
              </w:rPr>
            </w:pPr>
            <w:r>
              <w:rPr>
                <w:rFonts w:ascii="宋体" w:cs="Arial" w:hint="eastAsia"/>
                <w:kern w:val="0"/>
                <w:sz w:val="22"/>
                <w:szCs w:val="22"/>
              </w:rPr>
              <w:t>11</w:t>
            </w:r>
          </w:p>
        </w:tc>
        <w:tc>
          <w:tcPr>
            <w:tcW w:w="2155" w:type="dxa"/>
            <w:tcBorders>
              <w:top w:val="nil"/>
              <w:left w:val="nil"/>
              <w:bottom w:val="single" w:sz="4" w:space="0" w:color="000000"/>
              <w:right w:val="single" w:sz="4" w:space="0" w:color="000000"/>
            </w:tcBorders>
            <w:shd w:val="clear" w:color="auto" w:fill="auto"/>
            <w:noWrap/>
            <w:vAlign w:val="center"/>
          </w:tcPr>
          <w:p>
            <w:pPr>
              <w:pStyle w:val="72"/>
              <w:widowControl/>
              <w:jc w:val="right"/>
              <w:rPr>
                <w:kern w:val="0"/>
                <w:sz w:val="22"/>
                <w:szCs w:val="22"/>
              </w:rPr>
            </w:pPr>
            <w:r>
              <w:rPr>
                <w:kern w:val="0"/>
                <w:sz w:val="22"/>
                <w:szCs w:val="22"/>
              </w:rPr>
              <w:t>264.09</w:t>
            </w:r>
          </w:p>
        </w:tc>
      </w:tr>
      <w:tr>
        <w:trPr>
          <w:trHeight w:val="419"/>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pStyle w:val="64"/>
              <w:widowControl/>
              <w:jc w:val="left"/>
              <w:rPr>
                <w:rFonts w:ascii="宋体" w:cs="Arial"/>
                <w:kern w:val="0"/>
                <w:sz w:val="22"/>
                <w:szCs w:val="22"/>
              </w:rPr>
            </w:pPr>
            <w:r>
              <w:rPr>
                <w:rFonts w:ascii="宋体" w:cs="Arial"/>
                <w:kern w:val="0"/>
                <w:sz w:val="22"/>
                <w:szCs w:val="22"/>
              </w:rPr>
              <w:t>三</w:t>
            </w:r>
            <w:r>
              <w:rPr>
                <w:rFonts w:ascii="宋体" w:cs="Arial" w:hint="eastAsia"/>
                <w:kern w:val="0"/>
                <w:sz w:val="22"/>
                <w:szCs w:val="22"/>
              </w:rPr>
              <w:t>、事业收入</w:t>
            </w:r>
          </w:p>
        </w:tc>
        <w:tc>
          <w:tcPr>
            <w:tcW w:w="732" w:type="dxa"/>
            <w:tcBorders>
              <w:top w:val="nil"/>
              <w:left w:val="nil"/>
              <w:bottom w:val="single" w:sz="4" w:space="0" w:color="000000"/>
              <w:right w:val="single" w:sz="4" w:space="0" w:color="000000"/>
            </w:tcBorders>
            <w:shd w:val="clear" w:color="auto" w:fill="auto"/>
            <w:noWrap/>
            <w:vAlign w:val="center"/>
          </w:tcPr>
          <w:p>
            <w:pPr>
              <w:pStyle w:val="65"/>
              <w:widowControl/>
              <w:jc w:val="center"/>
              <w:rPr>
                <w:rFonts w:ascii="宋体" w:cs="Arial"/>
                <w:kern w:val="0"/>
                <w:sz w:val="22"/>
                <w:szCs w:val="22"/>
              </w:rPr>
            </w:pPr>
            <w:r>
              <w:rPr>
                <w:rFonts w:ascii="宋体" w:cs="Arial"/>
                <w:kern w:val="0"/>
                <w:sz w:val="22"/>
                <w:szCs w:val="22"/>
              </w:rPr>
              <w:t>3</w:t>
            </w:r>
          </w:p>
        </w:tc>
        <w:tc>
          <w:tcPr>
            <w:tcW w:w="1773" w:type="dxa"/>
            <w:tcBorders>
              <w:top w:val="nil"/>
              <w:left w:val="nil"/>
              <w:bottom w:val="single" w:sz="4" w:space="0" w:color="000000"/>
              <w:right w:val="single" w:sz="4" w:space="0" w:color="000000"/>
            </w:tcBorders>
            <w:shd w:val="clear" w:color="auto" w:fill="auto"/>
            <w:noWrap/>
            <w:vAlign w:val="center"/>
          </w:tcPr>
          <w:p>
            <w:pPr>
              <w:pStyle w:val="66"/>
              <w:widowControl/>
              <w:jc w:val="right"/>
              <w:rPr>
                <w:kern w:val="0"/>
                <w:sz w:val="22"/>
                <w:szCs w:val="22"/>
              </w:rPr>
            </w:pPr>
            <w:r>
              <w:rPr>
                <w:kern w:val="0"/>
                <w:sz w:val="22"/>
                <w:szCs w:val="22"/>
              </w:rPr>
              <w:t>181.89</w:t>
            </w:r>
          </w:p>
        </w:tc>
        <w:tc>
          <w:tcPr>
            <w:tcW w:w="3815" w:type="dxa"/>
            <w:tcBorders>
              <w:top w:val="nil"/>
              <w:left w:val="nil"/>
              <w:bottom w:val="single" w:sz="4" w:space="0" w:color="000000"/>
              <w:right w:val="single" w:sz="4" w:space="0" w:color="000000"/>
            </w:tcBorders>
            <w:shd w:val="clear" w:color="auto" w:fill="auto"/>
            <w:noWrap/>
            <w:vAlign w:val="center"/>
          </w:tcPr>
          <w:p>
            <w:pPr>
              <w:pStyle w:val="73"/>
              <w:widowControl/>
              <w:jc w:val="left"/>
              <w:rPr>
                <w:rFonts w:ascii="宋体" w:cs="Arial"/>
                <w:kern w:val="0"/>
                <w:sz w:val="22"/>
                <w:szCs w:val="22"/>
              </w:rPr>
            </w:pPr>
            <w:r>
              <w:rPr>
                <w:rFonts w:ascii="宋体" w:cs="Arial"/>
                <w:kern w:val="0"/>
                <w:sz w:val="22"/>
                <w:szCs w:val="22"/>
              </w:rPr>
              <w:t>三</w:t>
            </w:r>
            <w:r>
              <w:rPr>
                <w:rFonts w:ascii="宋体" w:cs="Arial" w:hint="eastAsia"/>
                <w:kern w:val="0"/>
                <w:sz w:val="22"/>
                <w:szCs w:val="22"/>
              </w:rPr>
              <w:t>、住房保障支出</w:t>
            </w:r>
          </w:p>
        </w:tc>
        <w:tc>
          <w:tcPr>
            <w:tcW w:w="732" w:type="dxa"/>
            <w:tcBorders>
              <w:top w:val="nil"/>
              <w:left w:val="nil"/>
              <w:bottom w:val="single" w:sz="4" w:space="0" w:color="000000"/>
              <w:right w:val="single" w:sz="4" w:space="0" w:color="000000"/>
            </w:tcBorders>
            <w:shd w:val="clear" w:color="auto" w:fill="auto"/>
            <w:noWrap/>
            <w:vAlign w:val="center"/>
          </w:tcPr>
          <w:p>
            <w:pPr>
              <w:pStyle w:val="74"/>
              <w:widowControl/>
              <w:jc w:val="center"/>
              <w:rPr>
                <w:rFonts w:ascii="宋体" w:cs="Arial"/>
                <w:kern w:val="0"/>
                <w:sz w:val="22"/>
                <w:szCs w:val="22"/>
              </w:rPr>
            </w:pPr>
            <w:r>
              <w:rPr>
                <w:rFonts w:ascii="宋体" w:cs="Arial" w:hint="eastAsia"/>
                <w:kern w:val="0"/>
                <w:sz w:val="22"/>
                <w:szCs w:val="22"/>
              </w:rPr>
              <w:t>12</w:t>
            </w:r>
          </w:p>
        </w:tc>
        <w:tc>
          <w:tcPr>
            <w:tcW w:w="2155" w:type="dxa"/>
            <w:tcBorders>
              <w:top w:val="nil"/>
              <w:left w:val="nil"/>
              <w:bottom w:val="single" w:sz="4" w:space="0" w:color="000000"/>
              <w:right w:val="single" w:sz="4" w:space="0" w:color="000000"/>
            </w:tcBorders>
            <w:shd w:val="clear" w:color="auto" w:fill="auto"/>
            <w:noWrap/>
            <w:vAlign w:val="center"/>
          </w:tcPr>
          <w:p>
            <w:pPr>
              <w:pStyle w:val="75"/>
              <w:widowControl/>
              <w:jc w:val="right"/>
              <w:rPr>
                <w:kern w:val="0"/>
                <w:sz w:val="22"/>
                <w:szCs w:val="22"/>
              </w:rPr>
            </w:pPr>
            <w:r>
              <w:rPr>
                <w:rFonts w:ascii="宋体" w:cs="Arial"/>
                <w:kern w:val="0"/>
                <w:sz w:val="22"/>
                <w:szCs w:val="22"/>
              </w:rPr>
              <w:t>404.73</w:t>
            </w:r>
          </w:p>
        </w:tc>
      </w:tr>
      <w:tr>
        <w:trPr>
          <w:trHeight w:val="425"/>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pStyle w:val="67"/>
              <w:widowControl/>
              <w:jc w:val="left"/>
              <w:rPr>
                <w:rFonts w:ascii="宋体" w:cs="Arial"/>
                <w:kern w:val="0"/>
                <w:sz w:val="22"/>
                <w:szCs w:val="22"/>
              </w:rPr>
            </w:pPr>
            <w:r>
              <w:rPr>
                <w:rFonts w:ascii="宋体" w:cs="Arial"/>
                <w:kern w:val="0"/>
                <w:sz w:val="22"/>
                <w:szCs w:val="22"/>
              </w:rPr>
              <w:t>四</w:t>
            </w:r>
            <w:r>
              <w:rPr>
                <w:rFonts w:ascii="宋体" w:cs="Arial" w:hint="eastAsia"/>
                <w:kern w:val="0"/>
                <w:sz w:val="22"/>
                <w:szCs w:val="22"/>
              </w:rPr>
              <w:t>、其他收入</w:t>
            </w:r>
          </w:p>
        </w:tc>
        <w:tc>
          <w:tcPr>
            <w:tcW w:w="732" w:type="dxa"/>
            <w:tcBorders>
              <w:top w:val="nil"/>
              <w:left w:val="nil"/>
              <w:bottom w:val="single" w:sz="4" w:space="0" w:color="000000"/>
              <w:right w:val="single" w:sz="4" w:space="0" w:color="000000"/>
            </w:tcBorders>
            <w:shd w:val="clear" w:color="auto" w:fill="auto"/>
            <w:noWrap/>
            <w:vAlign w:val="center"/>
          </w:tcPr>
          <w:p>
            <w:pPr>
              <w:pStyle w:val="68"/>
              <w:widowControl/>
              <w:jc w:val="center"/>
              <w:rPr>
                <w:rFonts w:ascii="宋体" w:cs="Arial"/>
                <w:kern w:val="0"/>
                <w:sz w:val="22"/>
                <w:szCs w:val="22"/>
              </w:rPr>
            </w:pPr>
            <w:r>
              <w:rPr>
                <w:rFonts w:ascii="宋体" w:cs="Arial"/>
                <w:kern w:val="0"/>
                <w:sz w:val="22"/>
                <w:szCs w:val="22"/>
              </w:rPr>
              <w:t>4</w:t>
            </w:r>
          </w:p>
        </w:tc>
        <w:tc>
          <w:tcPr>
            <w:tcW w:w="1773" w:type="dxa"/>
            <w:tcBorders>
              <w:top w:val="nil"/>
              <w:left w:val="nil"/>
              <w:bottom w:val="single" w:sz="4" w:space="0" w:color="000000"/>
              <w:right w:val="single" w:sz="4" w:space="0" w:color="000000"/>
            </w:tcBorders>
            <w:shd w:val="clear" w:color="auto" w:fill="auto"/>
            <w:noWrap/>
            <w:vAlign w:val="center"/>
          </w:tcPr>
          <w:p>
            <w:pPr>
              <w:pStyle w:val="69"/>
              <w:widowControl/>
              <w:jc w:val="right"/>
              <w:rPr>
                <w:kern w:val="0"/>
                <w:sz w:val="22"/>
                <w:szCs w:val="22"/>
              </w:rPr>
            </w:pPr>
            <w:r>
              <w:rPr>
                <w:kern w:val="0"/>
                <w:sz w:val="22"/>
                <w:szCs w:val="22"/>
              </w:rPr>
              <w:t>1858.36</w:t>
            </w:r>
          </w:p>
        </w:tc>
        <w:tc>
          <w:tcPr>
            <w:tcW w:w="3815" w:type="dxa"/>
            <w:tcBorders>
              <w:top w:val="nil"/>
              <w:left w:val="nil"/>
              <w:bottom w:val="single" w:sz="4" w:space="0" w:color="000000"/>
              <w:right w:val="single" w:sz="4" w:space="0" w:color="000000"/>
            </w:tcBorders>
            <w:shd w:val="clear" w:color="auto" w:fill="auto"/>
            <w:noWrap/>
            <w:vAlign w:val="center"/>
          </w:tcPr>
          <w:p>
            <w:pPr>
              <w:pStyle w:val="76"/>
              <w:widowControl/>
              <w:jc w:val="left"/>
              <w:rPr>
                <w:rFonts w:ascii="宋体" w:cs="Arial"/>
                <w:kern w:val="0"/>
                <w:sz w:val="22"/>
                <w:szCs w:val="22"/>
              </w:rPr>
            </w:pPr>
            <w:r>
              <w:rPr>
                <w:rFonts w:ascii="宋体" w:cs="Arial"/>
                <w:kern w:val="0"/>
                <w:sz w:val="22"/>
                <w:szCs w:val="22"/>
              </w:rPr>
              <w:t>四</w:t>
            </w:r>
            <w:r>
              <w:rPr>
                <w:rFonts w:ascii="宋体" w:cs="Arial" w:hint="eastAsia"/>
                <w:kern w:val="0"/>
                <w:sz w:val="22"/>
                <w:szCs w:val="22"/>
              </w:rPr>
              <w:t>、</w:t>
            </w:r>
            <w:r>
              <w:rPr>
                <w:rFonts w:ascii="宋体" w:cs="Arial"/>
                <w:kern w:val="0"/>
                <w:sz w:val="22"/>
                <w:szCs w:val="22"/>
              </w:rPr>
              <w:t>其他</w:t>
            </w:r>
            <w:r>
              <w:rPr>
                <w:rFonts w:ascii="宋体" w:cs="Arial" w:hint="eastAsia"/>
                <w:kern w:val="0"/>
                <w:sz w:val="22"/>
                <w:szCs w:val="22"/>
              </w:rPr>
              <w:t>支出</w:t>
            </w:r>
          </w:p>
        </w:tc>
        <w:tc>
          <w:tcPr>
            <w:tcW w:w="732" w:type="dxa"/>
            <w:tcBorders>
              <w:top w:val="nil"/>
              <w:left w:val="nil"/>
              <w:bottom w:val="single" w:sz="4" w:space="0" w:color="000000"/>
              <w:right w:val="single" w:sz="4" w:space="0" w:color="000000"/>
            </w:tcBorders>
            <w:shd w:val="clear" w:color="auto" w:fill="auto"/>
            <w:noWrap/>
            <w:vAlign w:val="center"/>
          </w:tcPr>
          <w:p>
            <w:pPr>
              <w:pStyle w:val="77"/>
              <w:widowControl/>
              <w:jc w:val="center"/>
              <w:rPr>
                <w:rFonts w:ascii="宋体" w:cs="Arial"/>
                <w:kern w:val="0"/>
                <w:sz w:val="22"/>
                <w:szCs w:val="22"/>
              </w:rPr>
            </w:pPr>
            <w:r>
              <w:rPr>
                <w:rFonts w:ascii="宋体" w:cs="Arial" w:hint="eastAsia"/>
                <w:kern w:val="0"/>
                <w:sz w:val="22"/>
                <w:szCs w:val="22"/>
              </w:rPr>
              <w:t>13</w:t>
            </w:r>
          </w:p>
        </w:tc>
        <w:tc>
          <w:tcPr>
            <w:tcW w:w="2155" w:type="dxa"/>
            <w:tcBorders>
              <w:top w:val="nil"/>
              <w:left w:val="nil"/>
              <w:bottom w:val="single" w:sz="4" w:space="0" w:color="000000"/>
              <w:right w:val="single" w:sz="4" w:space="0" w:color="000000"/>
            </w:tcBorders>
            <w:shd w:val="clear" w:color="auto" w:fill="auto"/>
            <w:noWrap/>
            <w:vAlign w:val="center"/>
          </w:tcPr>
          <w:p>
            <w:pPr>
              <w:pStyle w:val="78"/>
              <w:widowControl/>
              <w:jc w:val="right"/>
              <w:rPr>
                <w:kern w:val="0"/>
                <w:sz w:val="22"/>
                <w:szCs w:val="22"/>
              </w:rPr>
            </w:pPr>
            <w:r>
              <w:rPr>
                <w:kern w:val="0"/>
                <w:sz w:val="22"/>
                <w:szCs w:val="22"/>
              </w:rPr>
              <w:t>56.24</w:t>
            </w:r>
          </w:p>
        </w:tc>
      </w:tr>
      <w:tr>
        <w:trPr>
          <w:trHeight w:val="417"/>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　</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409"/>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本年收入合计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4</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4094.05</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本年支出合计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14</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b/>
                <w:kern w:val="0"/>
                <w:sz w:val="22"/>
                <w:szCs w:val="22"/>
              </w:rPr>
            </w:pPr>
            <w:r>
              <w:rPr>
                <w:b/>
                <w:bCs/>
                <w:kern w:val="0"/>
                <w:sz w:val="22"/>
                <w:szCs w:val="22"/>
              </w:rPr>
              <w:t>3730.34</w:t>
            </w:r>
          </w:p>
        </w:tc>
      </w:tr>
      <w:tr>
        <w:trPr>
          <w:trHeight w:val="416"/>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使用非财政拨款结余（含专用结余）</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5</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381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结余分配</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15</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rFonts w:ascii="宋体" w:cs="Arial"/>
                <w:kern w:val="0"/>
                <w:sz w:val="22"/>
                <w:szCs w:val="22"/>
              </w:rPr>
              <w:t>44.55</w:t>
            </w:r>
          </w:p>
        </w:tc>
      </w:tr>
      <w:tr>
        <w:trPr>
          <w:trHeight w:val="408"/>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年初结转和结余</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6</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672.01</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年末结转和结余</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16</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991.18</w:t>
            </w:r>
          </w:p>
        </w:tc>
      </w:tr>
      <w:tr>
        <w:trPr>
          <w:trHeight w:val="413"/>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7</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17</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r>
      <w:tr>
        <w:trPr>
          <w:trHeight w:val="419"/>
        </w:trPr>
        <w:tc>
          <w:tcPr>
            <w:tcW w:w="4842"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总计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8</w:t>
            </w:r>
          </w:p>
        </w:tc>
        <w:tc>
          <w:tcPr>
            <w:tcW w:w="1773"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4766.06</w:t>
            </w:r>
          </w:p>
        </w:tc>
        <w:tc>
          <w:tcPr>
            <w:tcW w:w="381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总计</w:t>
            </w:r>
          </w:p>
        </w:tc>
        <w:tc>
          <w:tcPr>
            <w:tcW w:w="73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18</w:t>
            </w:r>
          </w:p>
        </w:tc>
        <w:tc>
          <w:tcPr>
            <w:tcW w:w="2155"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4766.06</w:t>
            </w:r>
          </w:p>
        </w:tc>
      </w:tr>
      <w:tr>
        <w:trPr>
          <w:trHeight w:val="308"/>
        </w:trPr>
        <w:tc>
          <w:tcPr>
            <w:tcW w:w="14049" w:type="dxa"/>
            <w:gridSpan w:val="6"/>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注:本表反映部门本年度的总收支和年末结转结余情况。本套报表金额单位转换时可能存在尾数误差。</w:t>
            </w:r>
          </w:p>
        </w:tc>
      </w:tr>
    </w:tbl>
    <w:p/>
    <w:p>
      <w:pPr>
        <w:sectPr>
          <w:pgSz w:w="16840" w:h="11907" w:orient="landscape"/>
          <w:pgMar w:top="1701" w:right="1440" w:bottom="1701" w:left="1440" w:header="851" w:footer="992" w:gutter="0"/>
          <w:docGrid w:linePitch="312" w:charSpace="0"/>
        </w:sectPr>
      </w:pPr>
    </w:p>
    <w:tbl>
      <w:tblPr>
        <w:jc w:val="left"/>
        <w:tblInd w:w="90" w:type="dxa"/>
        <w:tblW w:w="1408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0"/>
        <w:gridCol w:w="312"/>
        <w:gridCol w:w="271"/>
        <w:gridCol w:w="166"/>
        <w:gridCol w:w="3263"/>
        <w:gridCol w:w="1842"/>
        <w:gridCol w:w="2127"/>
        <w:gridCol w:w="992"/>
        <w:gridCol w:w="1417"/>
        <w:gridCol w:w="851"/>
        <w:gridCol w:w="850"/>
        <w:gridCol w:w="1594"/>
      </w:tblGrid>
      <w:tr>
        <w:trPr>
          <w:trHeight w:val="390"/>
        </w:trPr>
        <w:tc>
          <w:tcPr>
            <w:tcW w:w="14085" w:type="dxa"/>
            <w:gridSpan w:val="12"/>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收入决算表</w:t>
            </w:r>
          </w:p>
        </w:tc>
      </w:tr>
      <w:tr>
        <w:trPr>
          <w:trHeight w:val="255"/>
        </w:trPr>
        <w:tc>
          <w:tcPr>
            <w:tcW w:w="4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1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429"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4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2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41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94"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公开02表</w:t>
            </w:r>
          </w:p>
        </w:tc>
      </w:tr>
      <w:tr>
        <w:trPr>
          <w:trHeight w:val="255"/>
        </w:trPr>
        <w:tc>
          <w:tcPr>
            <w:tcW w:w="4412" w:type="dxa"/>
            <w:gridSpan w:val="5"/>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184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2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41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85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85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94"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08"/>
        </w:trPr>
        <w:tc>
          <w:tcPr>
            <w:tcW w:w="441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1842"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本年收入合计</w:t>
            </w:r>
          </w:p>
        </w:tc>
        <w:tc>
          <w:tcPr>
            <w:tcW w:w="2127"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财政拨款收入</w:t>
            </w:r>
          </w:p>
        </w:tc>
        <w:tc>
          <w:tcPr>
            <w:tcW w:w="992"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上级补助收入</w:t>
            </w:r>
          </w:p>
        </w:tc>
        <w:tc>
          <w:tcPr>
            <w:tcW w:w="1417"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事业收入</w:t>
            </w:r>
          </w:p>
        </w:tc>
        <w:tc>
          <w:tcPr>
            <w:tcW w:w="85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经营收入</w:t>
            </w:r>
          </w:p>
        </w:tc>
        <w:tc>
          <w:tcPr>
            <w:tcW w:w="850"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附属单位上缴收入</w:t>
            </w:r>
          </w:p>
        </w:tc>
        <w:tc>
          <w:tcPr>
            <w:tcW w:w="1594"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其他收入</w:t>
            </w:r>
          </w:p>
        </w:tc>
      </w:tr>
      <w:tr>
        <w:trPr>
          <w:trHeight w:val="308"/>
        </w:trPr>
        <w:tc>
          <w:tcPr>
            <w:tcW w:w="983"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功能分类科目编码</w:t>
            </w:r>
          </w:p>
        </w:tc>
        <w:tc>
          <w:tcPr>
            <w:tcW w:w="3429" w:type="dxa"/>
            <w:gridSpan w:val="2"/>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1842" w:type="dxa"/>
            <w:vMerge/>
            <w:tcBorders>
              <w:top w:val="single" w:sz="4" w:space="0" w:color="000000"/>
              <w:left w:val="nil"/>
              <w:bottom w:val="single" w:sz="4" w:space="0" w:color="000000"/>
              <w:right w:val="single" w:sz="4" w:space="0" w:color="000000"/>
            </w:tcBorders>
            <w:vAlign w:val="center"/>
          </w:tcPr>
          <w:p/>
        </w:tc>
        <w:tc>
          <w:tcPr>
            <w:tcW w:w="2127"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417"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850" w:type="dxa"/>
            <w:vMerge/>
            <w:tcBorders>
              <w:top w:val="single" w:sz="4" w:space="0" w:color="000000"/>
              <w:left w:val="nil"/>
              <w:bottom w:val="single" w:sz="4" w:space="0" w:color="000000"/>
              <w:right w:val="single" w:sz="4" w:space="0" w:color="000000"/>
            </w:tcBorders>
            <w:vAlign w:val="center"/>
          </w:tcPr>
          <w:p/>
        </w:tc>
        <w:tc>
          <w:tcPr>
            <w:tcW w:w="1594" w:type="dxa"/>
            <w:vMerge/>
            <w:tcBorders>
              <w:top w:val="single" w:sz="4" w:space="0" w:color="000000"/>
              <w:left w:val="nil"/>
              <w:bottom w:val="single" w:sz="4" w:space="0" w:color="000000"/>
              <w:right w:val="single" w:sz="4" w:space="0" w:color="000000"/>
            </w:tcBorders>
            <w:vAlign w:val="center"/>
          </w:tcPr>
          <w:p/>
        </w:tc>
      </w:tr>
      <w:tr>
        <w:trPr>
          <w:trHeight w:val="308"/>
        </w:trPr>
        <w:tc>
          <w:tcPr>
            <w:tcW w:w="981" w:type="dxa"/>
            <w:gridSpan w:val="3"/>
            <w:vMerge/>
            <w:tcBorders>
              <w:top w:val="nil"/>
              <w:left w:val="single" w:sz="4" w:space="0" w:color="000000"/>
              <w:bottom w:val="single" w:sz="4" w:space="0" w:color="000000"/>
              <w:right w:val="single" w:sz="4" w:space="0" w:color="000000"/>
            </w:tcBorders>
            <w:vAlign w:val="center"/>
          </w:tcPr>
          <w:p/>
        </w:tc>
        <w:tc>
          <w:tcPr>
            <w:tcW w:w="3429" w:type="dxa"/>
            <w:gridSpan w:val="2"/>
            <w:vMerge/>
            <w:tcBorders>
              <w:top w:val="nil"/>
              <w:left w:val="nil"/>
              <w:bottom w:val="single" w:sz="4" w:space="0" w:color="000000"/>
              <w:right w:val="single" w:sz="4" w:space="0" w:color="000000"/>
            </w:tcBorders>
            <w:vAlign w:val="center"/>
          </w:tcPr>
          <w:p/>
        </w:tc>
        <w:tc>
          <w:tcPr>
            <w:tcW w:w="1842" w:type="dxa"/>
            <w:vMerge/>
            <w:tcBorders>
              <w:top w:val="single" w:sz="4" w:space="0" w:color="000000"/>
              <w:left w:val="nil"/>
              <w:bottom w:val="single" w:sz="4" w:space="0" w:color="000000"/>
              <w:right w:val="single" w:sz="4" w:space="0" w:color="000000"/>
            </w:tcBorders>
            <w:vAlign w:val="center"/>
          </w:tcPr>
          <w:p/>
        </w:tc>
        <w:tc>
          <w:tcPr>
            <w:tcW w:w="2127"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417"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850" w:type="dxa"/>
            <w:vMerge/>
            <w:tcBorders>
              <w:top w:val="single" w:sz="4" w:space="0" w:color="000000"/>
              <w:left w:val="nil"/>
              <w:bottom w:val="single" w:sz="4" w:space="0" w:color="000000"/>
              <w:right w:val="single" w:sz="4" w:space="0" w:color="000000"/>
            </w:tcBorders>
            <w:vAlign w:val="center"/>
          </w:tcPr>
          <w:p/>
        </w:tc>
        <w:tc>
          <w:tcPr>
            <w:tcW w:w="1594" w:type="dxa"/>
            <w:vMerge/>
            <w:tcBorders>
              <w:top w:val="single" w:sz="4" w:space="0" w:color="000000"/>
              <w:left w:val="nil"/>
              <w:bottom w:val="single" w:sz="4" w:space="0" w:color="000000"/>
              <w:right w:val="single" w:sz="4" w:space="0" w:color="000000"/>
            </w:tcBorders>
            <w:vAlign w:val="center"/>
          </w:tcPr>
          <w:p/>
        </w:tc>
      </w:tr>
      <w:tr>
        <w:trPr>
          <w:trHeight w:val="308"/>
        </w:trPr>
        <w:tc>
          <w:tcPr>
            <w:tcW w:w="981" w:type="dxa"/>
            <w:gridSpan w:val="3"/>
            <w:vMerge/>
            <w:tcBorders>
              <w:top w:val="nil"/>
              <w:left w:val="single" w:sz="4" w:space="0" w:color="000000"/>
              <w:bottom w:val="single" w:sz="4" w:space="0" w:color="000000"/>
              <w:right w:val="single" w:sz="4" w:space="0" w:color="000000"/>
            </w:tcBorders>
            <w:vAlign w:val="center"/>
          </w:tcPr>
          <w:p/>
        </w:tc>
        <w:tc>
          <w:tcPr>
            <w:tcW w:w="3429" w:type="dxa"/>
            <w:gridSpan w:val="2"/>
            <w:vMerge/>
            <w:tcBorders>
              <w:top w:val="nil"/>
              <w:left w:val="nil"/>
              <w:bottom w:val="single" w:sz="4" w:space="0" w:color="000000"/>
              <w:right w:val="single" w:sz="4" w:space="0" w:color="000000"/>
            </w:tcBorders>
            <w:vAlign w:val="center"/>
          </w:tcPr>
          <w:p/>
        </w:tc>
        <w:tc>
          <w:tcPr>
            <w:tcW w:w="1842" w:type="dxa"/>
            <w:vMerge/>
            <w:tcBorders>
              <w:top w:val="single" w:sz="4" w:space="0" w:color="000000"/>
              <w:left w:val="nil"/>
              <w:bottom w:val="single" w:sz="4" w:space="0" w:color="000000"/>
              <w:right w:val="single" w:sz="4" w:space="0" w:color="000000"/>
            </w:tcBorders>
            <w:vAlign w:val="center"/>
          </w:tcPr>
          <w:p/>
        </w:tc>
        <w:tc>
          <w:tcPr>
            <w:tcW w:w="2127"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417" w:type="dxa"/>
            <w:vMerge/>
            <w:tcBorders>
              <w:top w:val="single" w:sz="4" w:space="0" w:color="000000"/>
              <w:left w:val="nil"/>
              <w:bottom w:val="single" w:sz="4" w:space="0" w:color="000000"/>
              <w:right w:val="single" w:sz="4" w:space="0" w:color="000000"/>
            </w:tcBorders>
            <w:vAlign w:val="center"/>
          </w:tcPr>
          <w:p/>
        </w:tc>
        <w:tc>
          <w:tcPr>
            <w:tcW w:w="851" w:type="dxa"/>
            <w:vMerge/>
            <w:tcBorders>
              <w:top w:val="single" w:sz="4" w:space="0" w:color="000000"/>
              <w:left w:val="nil"/>
              <w:bottom w:val="single" w:sz="4" w:space="0" w:color="000000"/>
              <w:right w:val="single" w:sz="4" w:space="0" w:color="000000"/>
            </w:tcBorders>
            <w:vAlign w:val="center"/>
          </w:tcPr>
          <w:p/>
        </w:tc>
        <w:tc>
          <w:tcPr>
            <w:tcW w:w="850" w:type="dxa"/>
            <w:vMerge/>
            <w:tcBorders>
              <w:top w:val="single" w:sz="4" w:space="0" w:color="000000"/>
              <w:left w:val="nil"/>
              <w:bottom w:val="single" w:sz="4" w:space="0" w:color="000000"/>
              <w:right w:val="single" w:sz="4" w:space="0" w:color="000000"/>
            </w:tcBorders>
            <w:vAlign w:val="center"/>
          </w:tcPr>
          <w:p/>
        </w:tc>
        <w:tc>
          <w:tcPr>
            <w:tcW w:w="1594" w:type="dxa"/>
            <w:vMerge/>
            <w:tcBorders>
              <w:top w:val="single" w:sz="4" w:space="0" w:color="000000"/>
              <w:left w:val="nil"/>
              <w:bottom w:val="single" w:sz="4" w:space="0" w:color="000000"/>
              <w:right w:val="single" w:sz="4" w:space="0" w:color="000000"/>
            </w:tcBorders>
            <w:vAlign w:val="center"/>
          </w:tcPr>
          <w:p/>
        </w:tc>
      </w:tr>
      <w:tr>
        <w:trPr>
          <w:trHeight w:val="308"/>
        </w:trPr>
        <w:tc>
          <w:tcPr>
            <w:tcW w:w="4412" w:type="dxa"/>
            <w:gridSpan w:val="5"/>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184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1</w:t>
            </w:r>
          </w:p>
        </w:tc>
        <w:tc>
          <w:tcPr>
            <w:tcW w:w="2127"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2</w:t>
            </w:r>
          </w:p>
        </w:tc>
        <w:tc>
          <w:tcPr>
            <w:tcW w:w="99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3</w:t>
            </w:r>
          </w:p>
        </w:tc>
        <w:tc>
          <w:tcPr>
            <w:tcW w:w="1417"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4</w:t>
            </w:r>
          </w:p>
        </w:tc>
        <w:tc>
          <w:tcPr>
            <w:tcW w:w="851"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5</w:t>
            </w:r>
          </w:p>
        </w:tc>
        <w:tc>
          <w:tcPr>
            <w:tcW w:w="85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6</w:t>
            </w:r>
          </w:p>
        </w:tc>
        <w:tc>
          <w:tcPr>
            <w:tcW w:w="1594"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7</w:t>
            </w:r>
          </w:p>
        </w:tc>
      </w:tr>
      <w:tr>
        <w:trPr>
          <w:trHeight w:val="308"/>
        </w:trPr>
        <w:tc>
          <w:tcPr>
            <w:tcW w:w="4412" w:type="dxa"/>
            <w:gridSpan w:val="5"/>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合计</w:t>
            </w:r>
          </w:p>
        </w:tc>
        <w:tc>
          <w:tcPr>
            <w:tcW w:w="1842"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4094.05</w:t>
            </w:r>
          </w:p>
        </w:tc>
        <w:tc>
          <w:tcPr>
            <w:tcW w:w="2127"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2053.80</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181.89</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594"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1858.36</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201</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一般公共服务支出</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3425.23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1844.50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181.89</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1398.84 </w:t>
            </w:r>
          </w:p>
        </w:tc>
      </w:tr>
      <w:tr>
        <w:trPr>
          <w:trHeight w:val="475"/>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海关事务</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3425.23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1844.50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181.89</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1398.84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2010901</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行政运行</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1823.77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780.00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1043.77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2010903</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机关服务</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155.76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62.00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93.76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2010905</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缉私办案</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5.00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5.00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2010909</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海关关务</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264.50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264.50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center"/>
              <w:rPr>
                <w:rFonts w:cs="宋体"/>
                <w:kern w:val="0"/>
                <w:sz w:val="22"/>
              </w:rPr>
            </w:pP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2010912</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检验检疫</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165.00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165.00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2010950</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事业运行</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1011.19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568.00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181.89</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261.31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208</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社会保障和就业支出</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159.30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rPr>
            </w:pPr>
            <w:r>
              <w:rPr>
                <w:b/>
                <w:bCs/>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104.79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行政事业单位养老支出</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159.30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wordWrap w:val="0"/>
              <w:ind w:right="110"/>
              <w:jc w:val="right"/>
              <w:rPr>
                <w:kern w:val="0"/>
                <w:sz w:val="22"/>
              </w:rPr>
            </w:pPr>
            <w:r>
              <w:rPr>
                <w:kern w:val="0"/>
                <w:sz w:val="22"/>
              </w:rPr>
              <w:t xml:space="preserve">  </w:t>
            </w: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104.79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2080502</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事业单位离退休</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66.67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1417" w:type="dxa"/>
            <w:tcBorders>
              <w:top w:val="nil"/>
              <w:left w:val="nil"/>
              <w:bottom w:val="single" w:sz="4" w:space="0" w:color="000000"/>
              <w:right w:val="single" w:sz="4" w:space="0" w:color="000000"/>
            </w:tcBorders>
            <w:shd w:val="clear" w:color="auto" w:fill="auto"/>
            <w:noWrap/>
            <w:vAlign w:val="center"/>
          </w:tcPr>
          <w:p>
            <w:pPr>
              <w:widowControl/>
              <w:jc w:val="center"/>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66.67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2080505</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机关事业单位基本养老保险缴费支出</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137.96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107.86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30.10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2080506</w:t>
            </w:r>
          </w:p>
        </w:tc>
        <w:tc>
          <w:tcPr>
            <w:tcW w:w="3263"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机关事业单位职业年金缴费支出</w:t>
            </w:r>
          </w:p>
        </w:tc>
        <w:tc>
          <w:tcPr>
            <w:tcW w:w="1842"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59.45 </w:t>
            </w:r>
          </w:p>
        </w:tc>
        <w:tc>
          <w:tcPr>
            <w:tcW w:w="2127"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51.44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8.01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pStyle w:val="161"/>
              <w:widowControl/>
              <w:jc w:val="left"/>
              <w:rPr>
                <w:rFonts w:ascii="宋体" w:cs="Arial"/>
                <w:b/>
                <w:bCs/>
                <w:kern w:val="0"/>
                <w:sz w:val="22"/>
              </w:rPr>
            </w:pPr>
            <w:r>
              <w:rPr>
                <w:rFonts w:ascii="宋体" w:cs="Arial" w:hint="eastAsia"/>
                <w:b/>
                <w:bCs/>
                <w:kern w:val="0"/>
                <w:sz w:val="22"/>
              </w:rPr>
              <w:t>221</w:t>
            </w:r>
          </w:p>
        </w:tc>
        <w:tc>
          <w:tcPr>
            <w:tcW w:w="3263" w:type="dxa"/>
            <w:tcBorders>
              <w:top w:val="nil"/>
              <w:left w:val="nil"/>
              <w:bottom w:val="single" w:sz="4" w:space="0" w:color="000000"/>
              <w:right w:val="single" w:sz="4" w:space="0" w:color="000000"/>
            </w:tcBorders>
            <w:shd w:val="clear" w:color="auto" w:fill="auto"/>
            <w:noWrap/>
            <w:vAlign w:val="center"/>
          </w:tcPr>
          <w:p>
            <w:pPr>
              <w:pStyle w:val="162"/>
              <w:widowControl/>
              <w:jc w:val="left"/>
              <w:rPr>
                <w:rFonts w:ascii="宋体" w:cs="Arial"/>
                <w:b/>
                <w:bCs/>
                <w:kern w:val="0"/>
                <w:sz w:val="22"/>
              </w:rPr>
            </w:pPr>
            <w:r>
              <w:rPr>
                <w:rFonts w:ascii="宋体" w:cs="Arial" w:hint="eastAsia"/>
                <w:b/>
                <w:bCs/>
                <w:kern w:val="0"/>
                <w:sz w:val="22"/>
              </w:rPr>
              <w:t>住房保障支出</w:t>
            </w:r>
          </w:p>
        </w:tc>
        <w:tc>
          <w:tcPr>
            <w:tcW w:w="1842" w:type="dxa"/>
            <w:tcBorders>
              <w:top w:val="nil"/>
              <w:left w:val="nil"/>
              <w:bottom w:val="single" w:sz="4" w:space="0" w:color="000000"/>
              <w:right w:val="single" w:sz="4" w:space="0" w:color="000000"/>
            </w:tcBorders>
            <w:shd w:val="clear" w:color="auto" w:fill="auto"/>
            <w:noWrap/>
            <w:vAlign w:val="center"/>
          </w:tcPr>
          <w:p>
            <w:pPr>
              <w:pStyle w:val="163"/>
              <w:jc w:val="right"/>
              <w:rPr>
                <w:rFonts w:ascii="宋体" w:cs="宋体"/>
                <w:sz w:val="22"/>
              </w:rPr>
            </w:pPr>
            <w:r>
              <w:rPr>
                <w:rFonts w:ascii="宋体" w:cs="宋体"/>
                <w:sz w:val="22"/>
              </w:rPr>
              <w:t>404.73</w:t>
            </w:r>
          </w:p>
        </w:tc>
        <w:tc>
          <w:tcPr>
            <w:tcW w:w="2127" w:type="dxa"/>
            <w:tcBorders>
              <w:top w:val="nil"/>
              <w:left w:val="nil"/>
              <w:bottom w:val="single" w:sz="4" w:space="0" w:color="000000"/>
              <w:right w:val="single" w:sz="4" w:space="0" w:color="000000"/>
            </w:tcBorders>
            <w:shd w:val="clear" w:color="auto" w:fill="auto"/>
            <w:noWrap/>
            <w:vAlign w:val="center"/>
          </w:tcPr>
          <w:p>
            <w:pPr>
              <w:pStyle w:val="164"/>
              <w:jc w:val="right"/>
              <w:rPr>
                <w:rFonts w:ascii="宋体" w:cs="宋体"/>
                <w:sz w:val="22"/>
              </w:rPr>
            </w:pPr>
            <w:r>
              <w:rPr>
                <w:rFonts w:ascii="宋体" w:cs="宋体"/>
                <w:sz w:val="22"/>
              </w:rPr>
              <w:t xml:space="preserve">50.00 </w:t>
            </w:r>
          </w:p>
        </w:tc>
        <w:tc>
          <w:tcPr>
            <w:tcW w:w="992" w:type="dxa"/>
            <w:tcBorders>
              <w:top w:val="nil"/>
              <w:left w:val="nil"/>
              <w:bottom w:val="single" w:sz="4" w:space="0" w:color="000000"/>
              <w:right w:val="single" w:sz="4" w:space="0" w:color="000000"/>
            </w:tcBorders>
            <w:shd w:val="clear" w:color="auto" w:fill="auto"/>
            <w:noWrap/>
            <w:vAlign w:val="center"/>
          </w:tcPr>
          <w:p>
            <w:pPr>
              <w:pStyle w:val="165"/>
              <w:widowControl/>
              <w:jc w:val="right"/>
              <w:rPr>
                <w:b/>
                <w:bCs/>
                <w:kern w:val="0"/>
                <w:sz w:val="22"/>
              </w:rPr>
            </w:pPr>
            <w:r>
              <w:rPr>
                <w:b/>
                <w:bCs/>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pStyle w:val="166"/>
              <w:widowControl/>
              <w:jc w:val="center"/>
              <w:rPr>
                <w:b/>
                <w:bCs/>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pStyle w:val="167"/>
              <w:widowControl/>
              <w:jc w:val="right"/>
              <w:rPr>
                <w:b/>
                <w:bCs/>
                <w:kern w:val="0"/>
                <w:sz w:val="22"/>
              </w:rPr>
            </w:pPr>
            <w:r>
              <w:rPr>
                <w:b/>
                <w:bCs/>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pStyle w:val="168"/>
              <w:widowControl/>
              <w:jc w:val="right"/>
              <w:rPr>
                <w:b/>
                <w:bCs/>
                <w:kern w:val="0"/>
                <w:sz w:val="22"/>
              </w:rPr>
            </w:pPr>
            <w:r>
              <w:rPr>
                <w:b/>
                <w:bCs/>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354.73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pStyle w:val="170"/>
              <w:widowControl/>
              <w:jc w:val="left"/>
              <w:rPr>
                <w:rFonts w:ascii="宋体" w:cs="Arial"/>
                <w:kern w:val="0"/>
                <w:sz w:val="22"/>
              </w:rPr>
            </w:pPr>
            <w:r>
              <w:rPr>
                <w:rFonts w:ascii="宋体" w:cs="Arial" w:hint="eastAsia"/>
                <w:kern w:val="0"/>
                <w:sz w:val="22"/>
              </w:rPr>
              <w:t>22102</w:t>
            </w:r>
          </w:p>
        </w:tc>
        <w:tc>
          <w:tcPr>
            <w:tcW w:w="3263" w:type="dxa"/>
            <w:tcBorders>
              <w:top w:val="nil"/>
              <w:left w:val="nil"/>
              <w:bottom w:val="single" w:sz="4" w:space="0" w:color="000000"/>
              <w:right w:val="single" w:sz="4" w:space="0" w:color="000000"/>
            </w:tcBorders>
            <w:shd w:val="clear" w:color="auto" w:fill="auto"/>
            <w:noWrap/>
            <w:vAlign w:val="center"/>
          </w:tcPr>
          <w:p>
            <w:pPr>
              <w:pStyle w:val="171"/>
              <w:widowControl/>
              <w:jc w:val="left"/>
              <w:rPr>
                <w:rFonts w:ascii="宋体" w:cs="Arial"/>
                <w:kern w:val="0"/>
                <w:sz w:val="22"/>
              </w:rPr>
            </w:pPr>
            <w:r>
              <w:rPr>
                <w:rFonts w:ascii="宋体" w:cs="Arial" w:hint="eastAsia"/>
                <w:kern w:val="0"/>
                <w:sz w:val="22"/>
              </w:rPr>
              <w:t>住房改革支出</w:t>
            </w:r>
          </w:p>
        </w:tc>
        <w:tc>
          <w:tcPr>
            <w:tcW w:w="1842" w:type="dxa"/>
            <w:tcBorders>
              <w:top w:val="nil"/>
              <w:left w:val="nil"/>
              <w:bottom w:val="single" w:sz="4" w:space="0" w:color="000000"/>
              <w:right w:val="single" w:sz="4" w:space="0" w:color="000000"/>
            </w:tcBorders>
            <w:shd w:val="clear" w:color="auto" w:fill="auto"/>
            <w:noWrap/>
            <w:vAlign w:val="center"/>
          </w:tcPr>
          <w:p>
            <w:pPr>
              <w:pStyle w:val="172"/>
              <w:jc w:val="right"/>
              <w:rPr>
                <w:rFonts w:ascii="宋体" w:cs="宋体"/>
                <w:sz w:val="22"/>
              </w:rPr>
            </w:pPr>
            <w:r>
              <w:rPr>
                <w:rFonts w:ascii="宋体" w:cs="宋体"/>
                <w:sz w:val="22"/>
              </w:rPr>
              <w:t xml:space="preserve">404.73 </w:t>
            </w:r>
          </w:p>
        </w:tc>
        <w:tc>
          <w:tcPr>
            <w:tcW w:w="2127" w:type="dxa"/>
            <w:tcBorders>
              <w:top w:val="nil"/>
              <w:left w:val="nil"/>
              <w:bottom w:val="single" w:sz="4" w:space="0" w:color="000000"/>
              <w:right w:val="single" w:sz="4" w:space="0" w:color="000000"/>
            </w:tcBorders>
            <w:shd w:val="clear" w:color="auto" w:fill="auto"/>
            <w:noWrap/>
            <w:vAlign w:val="center"/>
          </w:tcPr>
          <w:p>
            <w:pPr>
              <w:pStyle w:val="173"/>
              <w:jc w:val="right"/>
              <w:rPr>
                <w:rFonts w:ascii="宋体" w:cs="宋体"/>
                <w:sz w:val="22"/>
              </w:rPr>
            </w:pPr>
            <w:r>
              <w:rPr>
                <w:rFonts w:ascii="宋体" w:cs="宋体"/>
                <w:sz w:val="22"/>
              </w:rPr>
              <w:t xml:space="preserve">50.00 </w:t>
            </w:r>
          </w:p>
        </w:tc>
        <w:tc>
          <w:tcPr>
            <w:tcW w:w="992" w:type="dxa"/>
            <w:tcBorders>
              <w:top w:val="nil"/>
              <w:left w:val="nil"/>
              <w:bottom w:val="single" w:sz="4" w:space="0" w:color="000000"/>
              <w:right w:val="single" w:sz="4" w:space="0" w:color="000000"/>
            </w:tcBorders>
            <w:shd w:val="clear" w:color="auto" w:fill="auto"/>
            <w:noWrap/>
            <w:vAlign w:val="center"/>
          </w:tcPr>
          <w:p>
            <w:pPr>
              <w:pStyle w:val="174"/>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pStyle w:val="175"/>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pStyle w:val="176"/>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pStyle w:val="177"/>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tcPr>
          <w:p>
            <w:pPr>
              <w:widowControl/>
              <w:jc w:val="right"/>
              <w:rPr>
                <w:rFonts w:cs="宋体"/>
                <w:kern w:val="0"/>
                <w:sz w:val="22"/>
              </w:rPr>
            </w:pPr>
            <w:r>
              <w:rPr>
                <w:rFonts w:cs="宋体"/>
                <w:kern w:val="0"/>
                <w:sz w:val="22"/>
              </w:rPr>
              <w:t xml:space="preserve">354.73 </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pStyle w:val="179"/>
              <w:widowControl/>
              <w:jc w:val="left"/>
              <w:rPr>
                <w:rFonts w:ascii="宋体" w:cs="Arial"/>
                <w:kern w:val="0"/>
                <w:sz w:val="22"/>
              </w:rPr>
            </w:pPr>
            <w:r>
              <w:rPr>
                <w:rFonts w:ascii="宋体" w:cs="Arial" w:hint="eastAsia"/>
                <w:kern w:val="0"/>
                <w:sz w:val="22"/>
              </w:rPr>
              <w:t>2210201</w:t>
            </w:r>
          </w:p>
        </w:tc>
        <w:tc>
          <w:tcPr>
            <w:tcW w:w="3263" w:type="dxa"/>
            <w:tcBorders>
              <w:top w:val="nil"/>
              <w:left w:val="nil"/>
              <w:bottom w:val="single" w:sz="4" w:space="0" w:color="000000"/>
              <w:right w:val="single" w:sz="4" w:space="0" w:color="000000"/>
            </w:tcBorders>
            <w:shd w:val="clear" w:color="auto" w:fill="auto"/>
            <w:noWrap/>
            <w:vAlign w:val="center"/>
          </w:tcPr>
          <w:p>
            <w:pPr>
              <w:pStyle w:val="180"/>
              <w:widowControl/>
              <w:jc w:val="left"/>
              <w:rPr>
                <w:rFonts w:ascii="宋体" w:cs="Arial"/>
                <w:kern w:val="0"/>
                <w:sz w:val="22"/>
              </w:rPr>
            </w:pPr>
            <w:r>
              <w:rPr>
                <w:rFonts w:ascii="宋体" w:cs="Arial" w:hint="eastAsia"/>
                <w:kern w:val="0"/>
                <w:sz w:val="22"/>
              </w:rPr>
              <w:t xml:space="preserve">  住房公积金</w:t>
            </w:r>
          </w:p>
        </w:tc>
        <w:tc>
          <w:tcPr>
            <w:tcW w:w="1842" w:type="dxa"/>
            <w:tcBorders>
              <w:top w:val="nil"/>
              <w:left w:val="nil"/>
              <w:bottom w:val="single" w:sz="4" w:space="0" w:color="000000"/>
              <w:right w:val="single" w:sz="4" w:space="0" w:color="000000"/>
            </w:tcBorders>
            <w:shd w:val="clear" w:color="auto" w:fill="auto"/>
            <w:noWrap/>
            <w:vAlign w:val="center"/>
          </w:tcPr>
          <w:p>
            <w:pPr>
              <w:pStyle w:val="181"/>
              <w:jc w:val="right"/>
              <w:rPr>
                <w:rFonts w:ascii="宋体" w:cs="宋体"/>
                <w:sz w:val="22"/>
                <w:szCs w:val="22"/>
              </w:rPr>
            </w:pPr>
            <w:r>
              <w:rPr>
                <w:sz w:val="22"/>
                <w:szCs w:val="22"/>
              </w:rPr>
              <w:t>149.31</w:t>
            </w:r>
            <w:r>
              <w:rPr>
                <w:rFonts w:hint="eastAsia"/>
                <w:sz w:val="22"/>
                <w:szCs w:val="22"/>
              </w:rPr>
              <w:t xml:space="preserve"> </w:t>
            </w:r>
          </w:p>
        </w:tc>
        <w:tc>
          <w:tcPr>
            <w:tcW w:w="2127" w:type="dxa"/>
            <w:tcBorders>
              <w:top w:val="nil"/>
              <w:left w:val="nil"/>
              <w:bottom w:val="single" w:sz="4" w:space="0" w:color="000000"/>
              <w:right w:val="single" w:sz="4" w:space="0" w:color="000000"/>
            </w:tcBorders>
            <w:shd w:val="clear" w:color="auto" w:fill="auto"/>
            <w:noWrap/>
            <w:vAlign w:val="center"/>
          </w:tcPr>
          <w:p>
            <w:pPr>
              <w:pStyle w:val="182"/>
              <w:jc w:val="right"/>
              <w:rPr>
                <w:rFonts w:ascii="宋体" w:cs="宋体"/>
                <w:sz w:val="22"/>
                <w:szCs w:val="22"/>
              </w:rPr>
            </w:pPr>
            <w:r>
              <w:rPr>
                <w:sz w:val="22"/>
                <w:szCs w:val="22"/>
              </w:rPr>
              <w:t>50.00</w:t>
            </w:r>
            <w:r>
              <w:rPr>
                <w:rFonts w:hint="eastAsia"/>
                <w:sz w:val="22"/>
                <w:szCs w:val="22"/>
              </w:rPr>
              <w:t xml:space="preserve"> </w:t>
            </w:r>
          </w:p>
        </w:tc>
        <w:tc>
          <w:tcPr>
            <w:tcW w:w="992" w:type="dxa"/>
            <w:tcBorders>
              <w:top w:val="nil"/>
              <w:left w:val="nil"/>
              <w:bottom w:val="single" w:sz="4" w:space="0" w:color="000000"/>
              <w:right w:val="single" w:sz="4" w:space="0" w:color="000000"/>
            </w:tcBorders>
            <w:shd w:val="clear" w:color="auto" w:fill="auto"/>
            <w:noWrap/>
            <w:vAlign w:val="center"/>
          </w:tcPr>
          <w:p>
            <w:pPr>
              <w:pStyle w:val="183"/>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pStyle w:val="184"/>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pStyle w:val="185"/>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pStyle w:val="186"/>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vAlign w:val="center"/>
          </w:tcPr>
          <w:p>
            <w:pPr>
              <w:pStyle w:val="187"/>
              <w:widowControl/>
              <w:jc w:val="right"/>
              <w:rPr>
                <w:kern w:val="0"/>
                <w:sz w:val="22"/>
              </w:rPr>
            </w:pPr>
            <w:r>
              <w:rPr>
                <w:kern w:val="0"/>
                <w:sz w:val="22"/>
              </w:rPr>
              <w:t>99.31</w:t>
            </w:r>
          </w:p>
        </w:tc>
      </w:tr>
      <w:tr>
        <w:trPr>
          <w:trHeight w:val="308"/>
        </w:trPr>
        <w:tc>
          <w:tcPr>
            <w:tcW w:w="1149" w:type="dxa"/>
            <w:gridSpan w:val="4"/>
            <w:tcBorders>
              <w:top w:val="nil"/>
              <w:left w:val="single" w:sz="4" w:space="0" w:color="000000"/>
              <w:bottom w:val="single" w:sz="4" w:space="0" w:color="000000"/>
              <w:right w:val="single" w:sz="4" w:space="0" w:color="000000"/>
            </w:tcBorders>
            <w:shd w:val="clear" w:color="auto" w:fill="auto"/>
            <w:noWrap/>
            <w:vAlign w:val="center"/>
          </w:tcPr>
          <w:p>
            <w:pPr>
              <w:pStyle w:val="188"/>
              <w:widowControl/>
              <w:jc w:val="left"/>
              <w:rPr>
                <w:rFonts w:ascii="宋体" w:cs="Arial"/>
                <w:kern w:val="0"/>
                <w:sz w:val="22"/>
              </w:rPr>
            </w:pPr>
            <w:r>
              <w:rPr>
                <w:rFonts w:ascii="宋体" w:cs="Arial" w:hint="eastAsia"/>
                <w:kern w:val="0"/>
                <w:sz w:val="22"/>
              </w:rPr>
              <w:t>2210203</w:t>
            </w:r>
          </w:p>
        </w:tc>
        <w:tc>
          <w:tcPr>
            <w:tcW w:w="3263" w:type="dxa"/>
            <w:tcBorders>
              <w:top w:val="nil"/>
              <w:left w:val="nil"/>
              <w:bottom w:val="single" w:sz="4" w:space="0" w:color="000000"/>
              <w:right w:val="single" w:sz="4" w:space="0" w:color="000000"/>
            </w:tcBorders>
            <w:shd w:val="clear" w:color="auto" w:fill="auto"/>
            <w:noWrap/>
            <w:vAlign w:val="center"/>
          </w:tcPr>
          <w:p>
            <w:pPr>
              <w:pStyle w:val="189"/>
              <w:widowControl/>
              <w:jc w:val="left"/>
              <w:rPr>
                <w:rFonts w:ascii="宋体" w:cs="Arial"/>
                <w:kern w:val="0"/>
                <w:sz w:val="22"/>
              </w:rPr>
            </w:pPr>
            <w:r>
              <w:rPr>
                <w:rFonts w:ascii="宋体" w:cs="Arial" w:hint="eastAsia"/>
                <w:kern w:val="0"/>
                <w:sz w:val="22"/>
              </w:rPr>
              <w:t xml:space="preserve">  购房补贴</w:t>
            </w:r>
          </w:p>
        </w:tc>
        <w:tc>
          <w:tcPr>
            <w:tcW w:w="1842" w:type="dxa"/>
            <w:tcBorders>
              <w:top w:val="nil"/>
              <w:left w:val="nil"/>
              <w:bottom w:val="single" w:sz="4" w:space="0" w:color="000000"/>
              <w:right w:val="single" w:sz="4" w:space="0" w:color="000000"/>
            </w:tcBorders>
            <w:shd w:val="clear" w:color="auto" w:fill="auto"/>
            <w:noWrap/>
            <w:vAlign w:val="center"/>
          </w:tcPr>
          <w:p>
            <w:pPr>
              <w:pStyle w:val="190"/>
              <w:jc w:val="right"/>
              <w:rPr>
                <w:rFonts w:ascii="宋体" w:cs="宋体"/>
                <w:sz w:val="22"/>
                <w:szCs w:val="22"/>
              </w:rPr>
            </w:pPr>
            <w:r>
              <w:rPr>
                <w:sz w:val="22"/>
                <w:szCs w:val="22"/>
              </w:rPr>
              <w:t>255.42</w:t>
            </w:r>
            <w:r>
              <w:rPr>
                <w:rFonts w:hint="eastAsia"/>
                <w:sz w:val="22"/>
                <w:szCs w:val="22"/>
              </w:rPr>
              <w:t xml:space="preserve"> </w:t>
            </w:r>
          </w:p>
        </w:tc>
        <w:tc>
          <w:tcPr>
            <w:tcW w:w="2127" w:type="dxa"/>
            <w:tcBorders>
              <w:top w:val="nil"/>
              <w:left w:val="nil"/>
              <w:bottom w:val="single" w:sz="4" w:space="0" w:color="000000"/>
              <w:right w:val="single" w:sz="4" w:space="0" w:color="000000"/>
            </w:tcBorders>
            <w:shd w:val="clear" w:color="auto" w:fill="auto"/>
            <w:noWrap/>
            <w:vAlign w:val="center"/>
          </w:tcPr>
          <w:p>
            <w:pPr>
              <w:pStyle w:val="191"/>
              <w:jc w:val="right"/>
              <w:rPr>
                <w:rFonts w:ascii="宋体" w:cs="宋体"/>
                <w:sz w:val="22"/>
                <w:szCs w:val="22"/>
              </w:rPr>
            </w:pPr>
            <w:r>
              <w:rPr>
                <w:rFonts w:hint="eastAsia"/>
                <w:sz w:val="22"/>
                <w:szCs w:val="22"/>
              </w:rPr>
              <w:t xml:space="preserve"> </w:t>
            </w:r>
          </w:p>
        </w:tc>
        <w:tc>
          <w:tcPr>
            <w:tcW w:w="992" w:type="dxa"/>
            <w:tcBorders>
              <w:top w:val="nil"/>
              <w:left w:val="nil"/>
              <w:bottom w:val="single" w:sz="4" w:space="0" w:color="000000"/>
              <w:right w:val="single" w:sz="4" w:space="0" w:color="000000"/>
            </w:tcBorders>
            <w:shd w:val="clear" w:color="auto" w:fill="auto"/>
            <w:noWrap/>
            <w:vAlign w:val="center"/>
          </w:tcPr>
          <w:p>
            <w:pPr>
              <w:pStyle w:val="192"/>
              <w:widowControl/>
              <w:jc w:val="right"/>
              <w:rPr>
                <w:kern w:val="0"/>
                <w:sz w:val="22"/>
              </w:rPr>
            </w:pPr>
            <w:r>
              <w:rPr>
                <w:kern w:val="0"/>
                <w:sz w:val="22"/>
              </w:rPr>
              <w:t>　</w:t>
            </w:r>
          </w:p>
        </w:tc>
        <w:tc>
          <w:tcPr>
            <w:tcW w:w="1417" w:type="dxa"/>
            <w:tcBorders>
              <w:top w:val="nil"/>
              <w:left w:val="nil"/>
              <w:bottom w:val="single" w:sz="4" w:space="0" w:color="000000"/>
              <w:right w:val="single" w:sz="4" w:space="0" w:color="000000"/>
            </w:tcBorders>
            <w:shd w:val="clear" w:color="auto" w:fill="auto"/>
            <w:noWrap/>
            <w:vAlign w:val="center"/>
          </w:tcPr>
          <w:p>
            <w:pPr>
              <w:pStyle w:val="193"/>
              <w:widowControl/>
              <w:jc w:val="right"/>
              <w:rPr>
                <w:kern w:val="0"/>
                <w:sz w:val="22"/>
              </w:rPr>
            </w:pPr>
          </w:p>
        </w:tc>
        <w:tc>
          <w:tcPr>
            <w:tcW w:w="851" w:type="dxa"/>
            <w:tcBorders>
              <w:top w:val="nil"/>
              <w:left w:val="nil"/>
              <w:bottom w:val="single" w:sz="4" w:space="0" w:color="000000"/>
              <w:right w:val="single" w:sz="4" w:space="0" w:color="000000"/>
            </w:tcBorders>
            <w:shd w:val="clear" w:color="auto" w:fill="auto"/>
            <w:noWrap/>
            <w:vAlign w:val="center"/>
          </w:tcPr>
          <w:p>
            <w:pPr>
              <w:pStyle w:val="194"/>
              <w:widowControl/>
              <w:jc w:val="right"/>
              <w:rPr>
                <w:kern w:val="0"/>
                <w:sz w:val="22"/>
              </w:rPr>
            </w:pPr>
            <w:r>
              <w:rPr>
                <w:kern w:val="0"/>
                <w:sz w:val="22"/>
              </w:rPr>
              <w:t>　</w:t>
            </w:r>
          </w:p>
        </w:tc>
        <w:tc>
          <w:tcPr>
            <w:tcW w:w="850" w:type="dxa"/>
            <w:tcBorders>
              <w:top w:val="nil"/>
              <w:left w:val="nil"/>
              <w:bottom w:val="single" w:sz="4" w:space="0" w:color="000000"/>
              <w:right w:val="single" w:sz="4" w:space="0" w:color="000000"/>
            </w:tcBorders>
            <w:shd w:val="clear" w:color="auto" w:fill="auto"/>
            <w:noWrap/>
            <w:vAlign w:val="center"/>
          </w:tcPr>
          <w:p>
            <w:pPr>
              <w:pStyle w:val="195"/>
              <w:widowControl/>
              <w:jc w:val="right"/>
              <w:rPr>
                <w:kern w:val="0"/>
                <w:sz w:val="22"/>
              </w:rPr>
            </w:pPr>
            <w:r>
              <w:rPr>
                <w:kern w:val="0"/>
                <w:sz w:val="22"/>
              </w:rPr>
              <w:t>　</w:t>
            </w:r>
          </w:p>
        </w:tc>
        <w:tc>
          <w:tcPr>
            <w:tcW w:w="1594" w:type="dxa"/>
            <w:tcBorders>
              <w:top w:val="nil"/>
              <w:left w:val="nil"/>
              <w:bottom w:val="single" w:sz="4" w:space="0" w:color="000000"/>
              <w:right w:val="single" w:sz="4" w:space="0" w:color="000000"/>
            </w:tcBorders>
            <w:shd w:val="clear" w:color="auto" w:fill="auto"/>
            <w:noWrap/>
            <w:vAlign w:val="center"/>
          </w:tcPr>
          <w:p>
            <w:pPr>
              <w:pStyle w:val="196"/>
              <w:widowControl/>
              <w:jc w:val="right"/>
              <w:rPr>
                <w:kern w:val="0"/>
                <w:sz w:val="22"/>
              </w:rPr>
            </w:pPr>
            <w:r>
              <w:rPr>
                <w:kern w:val="0"/>
                <w:sz w:val="22"/>
              </w:rPr>
              <w:t>255.42</w:t>
            </w:r>
          </w:p>
        </w:tc>
      </w:tr>
      <w:tr>
        <w:trPr>
          <w:trHeight w:val="308"/>
        </w:trPr>
        <w:tc>
          <w:tcPr>
            <w:tcW w:w="14085" w:type="dxa"/>
            <w:gridSpan w:val="12"/>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注：本表反映部门本年度取得的各项收入情况。</w:t>
            </w:r>
          </w:p>
        </w:tc>
      </w:tr>
    </w:tbl>
    <w:p>
      <w:pPr>
        <w:rPr>
          <w:color w:val="FF0000"/>
        </w:rPr>
        <w:sectPr>
          <w:pgSz w:w="16840" w:h="11907" w:orient="landscape"/>
          <w:pgMar w:top="1701" w:right="1440" w:bottom="1701" w:left="1440" w:header="851" w:footer="992" w:gutter="0"/>
          <w:docGrid w:linePitch="312" w:charSpace="0"/>
        </w:sectPr>
      </w:pPr>
    </w:p>
    <w:tbl>
      <w:tblPr>
        <w:jc w:val="left"/>
        <w:tblInd w:w="93" w:type="dxa"/>
        <w:tblW w:w="1404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1"/>
        <w:gridCol w:w="314"/>
        <w:gridCol w:w="271"/>
        <w:gridCol w:w="3991"/>
        <w:gridCol w:w="1579"/>
        <w:gridCol w:w="1800"/>
        <w:gridCol w:w="1800"/>
        <w:gridCol w:w="1341"/>
        <w:gridCol w:w="992"/>
        <w:gridCol w:w="1560"/>
      </w:tblGrid>
      <w:tr>
        <w:trPr>
          <w:trHeight w:val="420"/>
        </w:trPr>
        <w:tc>
          <w:tcPr>
            <w:tcW w:w="14049" w:type="dxa"/>
            <w:gridSpan w:val="10"/>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支出决算表</w:t>
            </w:r>
          </w:p>
        </w:tc>
      </w:tr>
      <w:tr>
        <w:trPr>
          <w:trHeight w:val="255"/>
        </w:trPr>
        <w:tc>
          <w:tcPr>
            <w:tcW w:w="40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14"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99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79"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4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60"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公开03表</w:t>
            </w:r>
          </w:p>
        </w:tc>
      </w:tr>
      <w:tr>
        <w:trPr>
          <w:trHeight w:val="255"/>
        </w:trPr>
        <w:tc>
          <w:tcPr>
            <w:tcW w:w="4977" w:type="dxa"/>
            <w:gridSpan w:val="4"/>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1579"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4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60"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08"/>
        </w:trPr>
        <w:tc>
          <w:tcPr>
            <w:tcW w:w="497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rPr>
            </w:pPr>
            <w:r>
              <w:rPr>
                <w:rFonts w:ascii="宋体" w:cs="Arial" w:hint="eastAsia"/>
                <w:kern w:val="0"/>
                <w:sz w:val="22"/>
              </w:rPr>
              <w:t>项目</w:t>
            </w:r>
          </w:p>
        </w:tc>
        <w:tc>
          <w:tcPr>
            <w:tcW w:w="1579"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本年支出合计</w:t>
            </w:r>
          </w:p>
        </w:tc>
        <w:tc>
          <w:tcPr>
            <w:tcW w:w="1800"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基本支出</w:t>
            </w:r>
          </w:p>
        </w:tc>
        <w:tc>
          <w:tcPr>
            <w:tcW w:w="1800"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项目支出</w:t>
            </w:r>
          </w:p>
        </w:tc>
        <w:tc>
          <w:tcPr>
            <w:tcW w:w="1341"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上缴上级支出</w:t>
            </w:r>
          </w:p>
        </w:tc>
        <w:tc>
          <w:tcPr>
            <w:tcW w:w="992"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经营支出</w:t>
            </w:r>
          </w:p>
        </w:tc>
        <w:tc>
          <w:tcPr>
            <w:tcW w:w="1560"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对附属单位补助支出</w:t>
            </w:r>
          </w:p>
        </w:tc>
      </w:tr>
      <w:tr>
        <w:trPr>
          <w:trHeight w:val="312"/>
        </w:trPr>
        <w:tc>
          <w:tcPr>
            <w:tcW w:w="986"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科目代码</w:t>
            </w:r>
          </w:p>
        </w:tc>
        <w:tc>
          <w:tcPr>
            <w:tcW w:w="3991"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rPr>
            </w:pPr>
            <w:r>
              <w:rPr>
                <w:rFonts w:ascii="宋体" w:cs="Arial" w:hint="eastAsia"/>
                <w:kern w:val="0"/>
                <w:sz w:val="22"/>
              </w:rPr>
              <w:t>科目名称</w:t>
            </w:r>
          </w:p>
        </w:tc>
        <w:tc>
          <w:tcPr>
            <w:tcW w:w="1579"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341"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560" w:type="dxa"/>
            <w:vMerge/>
            <w:tcBorders>
              <w:top w:val="single" w:sz="4" w:space="0" w:color="000000"/>
              <w:left w:val="nil"/>
              <w:bottom w:val="single" w:sz="4" w:space="0" w:color="000000"/>
              <w:right w:val="single" w:sz="4" w:space="0" w:color="000000"/>
            </w:tcBorders>
            <w:vAlign w:val="center"/>
          </w:tcPr>
          <w:p/>
        </w:tc>
      </w:tr>
      <w:tr>
        <w:trPr>
          <w:trHeight w:val="312"/>
        </w:trPr>
        <w:tc>
          <w:tcPr>
            <w:tcW w:w="986" w:type="dxa"/>
            <w:gridSpan w:val="3"/>
            <w:vMerge/>
            <w:tcBorders>
              <w:top w:val="nil"/>
              <w:left w:val="single" w:sz="4" w:space="0" w:color="000000"/>
              <w:bottom w:val="single" w:sz="4" w:space="0" w:color="000000"/>
              <w:right w:val="single" w:sz="4" w:space="0" w:color="000000"/>
            </w:tcBorders>
            <w:vAlign w:val="center"/>
          </w:tcPr>
          <w:p/>
        </w:tc>
        <w:tc>
          <w:tcPr>
            <w:tcW w:w="3991" w:type="dxa"/>
            <w:vMerge/>
            <w:tcBorders>
              <w:top w:val="nil"/>
              <w:left w:val="nil"/>
              <w:bottom w:val="single" w:sz="4" w:space="0" w:color="000000"/>
              <w:right w:val="single" w:sz="4" w:space="0" w:color="000000"/>
            </w:tcBorders>
            <w:vAlign w:val="center"/>
          </w:tcPr>
          <w:p/>
        </w:tc>
        <w:tc>
          <w:tcPr>
            <w:tcW w:w="1579"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341"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560" w:type="dxa"/>
            <w:vMerge/>
            <w:tcBorders>
              <w:top w:val="single" w:sz="4" w:space="0" w:color="000000"/>
              <w:left w:val="nil"/>
              <w:bottom w:val="single" w:sz="4" w:space="0" w:color="000000"/>
              <w:right w:val="single" w:sz="4" w:space="0" w:color="000000"/>
            </w:tcBorders>
            <w:vAlign w:val="center"/>
          </w:tcPr>
          <w:p/>
        </w:tc>
      </w:tr>
      <w:tr>
        <w:trPr>
          <w:trHeight w:val="312"/>
        </w:trPr>
        <w:tc>
          <w:tcPr>
            <w:tcW w:w="986" w:type="dxa"/>
            <w:gridSpan w:val="3"/>
            <w:vMerge/>
            <w:tcBorders>
              <w:top w:val="nil"/>
              <w:left w:val="single" w:sz="4" w:space="0" w:color="000000"/>
              <w:bottom w:val="single" w:sz="4" w:space="0" w:color="000000"/>
              <w:right w:val="single" w:sz="4" w:space="0" w:color="000000"/>
            </w:tcBorders>
            <w:vAlign w:val="center"/>
          </w:tcPr>
          <w:p/>
        </w:tc>
        <w:tc>
          <w:tcPr>
            <w:tcW w:w="3991" w:type="dxa"/>
            <w:vMerge/>
            <w:tcBorders>
              <w:top w:val="nil"/>
              <w:left w:val="nil"/>
              <w:bottom w:val="single" w:sz="4" w:space="0" w:color="000000"/>
              <w:right w:val="single" w:sz="4" w:space="0" w:color="000000"/>
            </w:tcBorders>
            <w:vAlign w:val="center"/>
          </w:tcPr>
          <w:p/>
        </w:tc>
        <w:tc>
          <w:tcPr>
            <w:tcW w:w="1579"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800" w:type="dxa"/>
            <w:vMerge/>
            <w:tcBorders>
              <w:top w:val="single" w:sz="4" w:space="0" w:color="000000"/>
              <w:left w:val="nil"/>
              <w:bottom w:val="single" w:sz="4" w:space="0" w:color="000000"/>
              <w:right w:val="single" w:sz="4" w:space="0" w:color="000000"/>
            </w:tcBorders>
            <w:vAlign w:val="center"/>
          </w:tcPr>
          <w:p/>
        </w:tc>
        <w:tc>
          <w:tcPr>
            <w:tcW w:w="1341" w:type="dxa"/>
            <w:vMerge/>
            <w:tcBorders>
              <w:top w:val="single" w:sz="4" w:space="0" w:color="000000"/>
              <w:left w:val="nil"/>
              <w:bottom w:val="single" w:sz="4" w:space="0" w:color="000000"/>
              <w:right w:val="single" w:sz="4" w:space="0" w:color="000000"/>
            </w:tcBorders>
            <w:vAlign w:val="center"/>
          </w:tcPr>
          <w:p/>
        </w:tc>
        <w:tc>
          <w:tcPr>
            <w:tcW w:w="992" w:type="dxa"/>
            <w:vMerge/>
            <w:tcBorders>
              <w:top w:val="single" w:sz="4" w:space="0" w:color="000000"/>
              <w:left w:val="nil"/>
              <w:bottom w:val="single" w:sz="4" w:space="0" w:color="000000"/>
              <w:right w:val="single" w:sz="4" w:space="0" w:color="000000"/>
            </w:tcBorders>
            <w:vAlign w:val="center"/>
          </w:tcPr>
          <w:p/>
        </w:tc>
        <w:tc>
          <w:tcPr>
            <w:tcW w:w="1560" w:type="dxa"/>
            <w:vMerge/>
            <w:tcBorders>
              <w:top w:val="single" w:sz="4" w:space="0" w:color="000000"/>
              <w:left w:val="nil"/>
              <w:bottom w:val="single" w:sz="4" w:space="0" w:color="000000"/>
              <w:right w:val="single" w:sz="4" w:space="0" w:color="000000"/>
            </w:tcBorders>
            <w:vAlign w:val="center"/>
          </w:tcPr>
          <w:p/>
        </w:tc>
      </w:tr>
      <w:tr>
        <w:trPr>
          <w:trHeight w:val="308"/>
        </w:trPr>
        <w:tc>
          <w:tcPr>
            <w:tcW w:w="497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rPr>
            </w:pPr>
            <w:r>
              <w:rPr>
                <w:rFonts w:ascii="宋体" w:cs="Arial" w:hint="eastAsia"/>
                <w:kern w:val="0"/>
                <w:sz w:val="22"/>
              </w:rPr>
              <w:t>栏次</w:t>
            </w:r>
          </w:p>
        </w:tc>
        <w:tc>
          <w:tcPr>
            <w:tcW w:w="1579"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1</w:t>
            </w:r>
          </w:p>
        </w:tc>
        <w:tc>
          <w:tcPr>
            <w:tcW w:w="18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2</w:t>
            </w:r>
          </w:p>
        </w:tc>
        <w:tc>
          <w:tcPr>
            <w:tcW w:w="18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3</w:t>
            </w:r>
          </w:p>
        </w:tc>
        <w:tc>
          <w:tcPr>
            <w:tcW w:w="1341"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4</w:t>
            </w:r>
          </w:p>
        </w:tc>
        <w:tc>
          <w:tcPr>
            <w:tcW w:w="99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5</w:t>
            </w:r>
          </w:p>
        </w:tc>
        <w:tc>
          <w:tcPr>
            <w:tcW w:w="156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rPr>
            </w:pPr>
            <w:r>
              <w:rPr>
                <w:rFonts w:ascii="宋体" w:cs="Arial" w:hint="eastAsia"/>
                <w:kern w:val="0"/>
                <w:sz w:val="22"/>
              </w:rPr>
              <w:t>6</w:t>
            </w:r>
          </w:p>
        </w:tc>
      </w:tr>
      <w:tr>
        <w:trPr>
          <w:trHeight w:val="308"/>
        </w:trPr>
        <w:tc>
          <w:tcPr>
            <w:tcW w:w="497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rPr>
            </w:pPr>
            <w:r>
              <w:rPr>
                <w:rFonts w:ascii="宋体" w:cs="Arial" w:hint="eastAsia"/>
                <w:kern w:val="0"/>
                <w:sz w:val="22"/>
              </w:rPr>
              <w:t>合计</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3,730.34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3,239.60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490.74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201</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一般公共服务支出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3,005.27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2,570.77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434.50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海关事务</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3,005.27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2,570.77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434.50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2010901</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行政运行</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1,090.98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1,090.98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2010903</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机关服务</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338.84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338.84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2010905</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缉私办案</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5.00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5.00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2010909</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海关关务</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264.50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264.50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2010912</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检验检疫</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165.00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165.00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2010950</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事业运行</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1,140.96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1,140.96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208</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社会保障和就业支出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行政事业单位养老支出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264.09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2080502</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事业单位离退休</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66.67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66.67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2080505</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机关事业单位基本养老保险缴费支出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137.96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137.96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2080506</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机关事业单位职业年金缴费支出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59.45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59.45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221</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rPr>
            </w:pPr>
            <w:r>
              <w:rPr>
                <w:rFonts w:ascii="宋体" w:cs="Arial" w:hint="eastAsia"/>
                <w:b/>
                <w:bCs/>
                <w:kern w:val="0"/>
                <w:sz w:val="22"/>
              </w:rPr>
              <w:t>住房保障支出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404.73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404.73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rPr>
            </w:pPr>
            <w:r>
              <w:rPr>
                <w:rFonts w:ascii="宋体" w:cs="Arial" w:hint="eastAsia"/>
                <w:b/>
                <w:bCs/>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22102</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住房改革支出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404.73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404.73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2210201</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住房公积金</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149.31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149.31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2210203</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hint="eastAsia"/>
                <w:kern w:val="0"/>
                <w:sz w:val="22"/>
              </w:rPr>
              <w:t xml:space="preserve">  购房补贴</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255.42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255.42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r>
              <w:rPr>
                <w:rFonts w:ascii="宋体" w:cs="Arial" w:hint="eastAsia"/>
                <w:kern w:val="0"/>
                <w:sz w:val="22"/>
              </w:rPr>
              <w:t>　</w:t>
            </w:r>
          </w:p>
        </w:tc>
      </w:tr>
      <w:tr>
        <w:trPr>
          <w:trHeight w:val="307"/>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229</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其他支出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56.24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56.24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r>
      <w:tr>
        <w:trPr>
          <w:trHeight w:val="307"/>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22998</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超长期特别国债安排的其他支出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56.24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sz w:val="22"/>
              </w:rPr>
            </w:pP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56.24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r>
      <w:tr>
        <w:trPr>
          <w:trHeight w:val="307"/>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2299899</w:t>
            </w:r>
          </w:p>
        </w:tc>
        <w:tc>
          <w:tcPr>
            <w:tcW w:w="399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rPr>
            </w:pPr>
            <w:r>
              <w:rPr>
                <w:rFonts w:ascii="宋体" w:cs="Arial"/>
                <w:kern w:val="0"/>
                <w:sz w:val="22"/>
              </w:rPr>
              <w:t>其他支出</w:t>
            </w:r>
          </w:p>
        </w:tc>
        <w:tc>
          <w:tcPr>
            <w:tcW w:w="1579"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56.24 </w:t>
            </w:r>
          </w:p>
        </w:tc>
        <w:tc>
          <w:tcPr>
            <w:tcW w:w="1800" w:type="dxa"/>
            <w:tcBorders>
              <w:top w:val="nil"/>
              <w:left w:val="nil"/>
              <w:bottom w:val="single" w:sz="4" w:space="0" w:color="000000"/>
              <w:right w:val="single" w:sz="4" w:space="0" w:color="000000"/>
            </w:tcBorders>
            <w:shd w:val="clear" w:color="auto" w:fill="auto"/>
            <w:noWrap/>
            <w:vAlign w:val="center"/>
          </w:tcPr>
          <w:p>
            <w:pPr>
              <w:jc w:val="right"/>
              <w:rPr>
                <w:rFonts w:ascii="宋体" w:cs="宋体"/>
                <w:sz w:val="22"/>
              </w:rPr>
            </w:pPr>
            <w:r>
              <w:rPr>
                <w:rFonts w:ascii="宋体" w:cs="宋体"/>
                <w:sz w:val="22"/>
              </w:rPr>
              <w:t xml:space="preserve"> </w:t>
            </w:r>
          </w:p>
        </w:tc>
        <w:tc>
          <w:tcPr>
            <w:tcW w:w="1800" w:type="dxa"/>
            <w:tcBorders>
              <w:top w:val="nil"/>
              <w:left w:val="nil"/>
              <w:bottom w:val="single" w:sz="4" w:space="0" w:color="000000"/>
              <w:right w:val="single" w:sz="4" w:space="0" w:color="000000"/>
            </w:tcBorders>
            <w:shd w:val="clear" w:color="auto" w:fill="auto"/>
            <w:noWrap/>
            <w:vAlign w:val="center"/>
          </w:tcPr>
          <w:p>
            <w:pPr>
              <w:pStyle w:val="36"/>
              <w:jc w:val="right"/>
              <w:rPr>
                <w:rFonts w:cs="宋体"/>
                <w:sz w:val="22"/>
              </w:rPr>
            </w:pPr>
            <w:r>
              <w:rPr>
                <w:rFonts w:cs="宋体"/>
                <w:sz w:val="22"/>
              </w:rPr>
              <w:t xml:space="preserve">56.24 </w:t>
            </w:r>
          </w:p>
        </w:tc>
        <w:tc>
          <w:tcPr>
            <w:tcW w:w="1341"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99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rPr>
            </w:pPr>
          </w:p>
        </w:tc>
      </w:tr>
      <w:tr>
        <w:trPr>
          <w:trHeight w:val="308"/>
        </w:trPr>
        <w:tc>
          <w:tcPr>
            <w:tcW w:w="14049" w:type="dxa"/>
            <w:gridSpan w:val="10"/>
            <w:tcBorders>
              <w:top w:val="nil"/>
              <w:left w:val="nil"/>
              <w:bottom w:val="nil"/>
              <w:right w:val="nil"/>
            </w:tcBorders>
            <w:shd w:val="clear" w:color="auto" w:fill="auto"/>
            <w:noWrap/>
            <w:vAlign w:val="center"/>
          </w:tcPr>
          <w:p>
            <w:pPr>
              <w:widowControl/>
              <w:jc w:val="left"/>
              <w:rPr>
                <w:rFonts w:ascii="宋体" w:cs="Arial"/>
                <w:kern w:val="0"/>
                <w:sz w:val="22"/>
              </w:rPr>
            </w:pPr>
            <w:r>
              <w:rPr>
                <w:rFonts w:ascii="宋体" w:cs="Arial" w:hint="eastAsia"/>
                <w:kern w:val="0"/>
                <w:sz w:val="22"/>
              </w:rPr>
              <w:t>注：本表反映部门本年度各项支出情况。</w:t>
            </w:r>
          </w:p>
        </w:tc>
      </w:tr>
    </w:tbl>
    <w:p/>
    <w:p>
      <w:r>
        <w:rPr>
          <w:color w:val="FF0000"/>
        </w:rPr>
        <w:br w:type="page"/>
      </w:r>
    </w:p>
    <w:tbl>
      <w:tblPr>
        <w:jc w:val="left"/>
        <w:tblInd w:w="-554" w:type="dxa"/>
        <w:tblW w:w="1469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290"/>
        <w:gridCol w:w="443"/>
        <w:gridCol w:w="1502"/>
        <w:gridCol w:w="3257"/>
        <w:gridCol w:w="443"/>
        <w:gridCol w:w="1325"/>
        <w:gridCol w:w="183"/>
        <w:gridCol w:w="1319"/>
        <w:gridCol w:w="99"/>
        <w:gridCol w:w="930"/>
        <w:gridCol w:w="345"/>
        <w:gridCol w:w="1560"/>
      </w:tblGrid>
      <w:tr>
        <w:trPr>
          <w:trHeight w:val="392"/>
        </w:trPr>
        <w:tc>
          <w:tcPr>
            <w:tcW w:w="14696" w:type="dxa"/>
            <w:gridSpan w:val="12"/>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财政拨款收入支出决算总表</w:t>
            </w:r>
          </w:p>
        </w:tc>
      </w:tr>
      <w:tr>
        <w:trPr>
          <w:trHeight w:val="275"/>
        </w:trPr>
        <w:tc>
          <w:tcPr>
            <w:tcW w:w="329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4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0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25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4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2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02"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029"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905" w:type="dxa"/>
            <w:gridSpan w:val="2"/>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公开04表</w:t>
            </w:r>
          </w:p>
        </w:tc>
      </w:tr>
      <w:tr>
        <w:trPr>
          <w:trHeight w:val="275"/>
        </w:trPr>
        <w:tc>
          <w:tcPr>
            <w:tcW w:w="3290" w:type="dxa"/>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44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0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25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4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2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502"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029"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905" w:type="dxa"/>
            <w:gridSpan w:val="2"/>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32"/>
        </w:trPr>
        <w:tc>
          <w:tcPr>
            <w:tcW w:w="523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收     入</w:t>
            </w:r>
          </w:p>
        </w:tc>
        <w:tc>
          <w:tcPr>
            <w:tcW w:w="9461" w:type="dxa"/>
            <w:gridSpan w:val="9"/>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支     出</w:t>
            </w:r>
          </w:p>
        </w:tc>
      </w:tr>
      <w:tr>
        <w:trPr>
          <w:trHeight w:val="316"/>
        </w:trPr>
        <w:tc>
          <w:tcPr>
            <w:tcW w:w="329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项目</w:t>
            </w:r>
          </w:p>
        </w:tc>
        <w:tc>
          <w:tcPr>
            <w:tcW w:w="443"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行次</w:t>
            </w:r>
          </w:p>
        </w:tc>
        <w:tc>
          <w:tcPr>
            <w:tcW w:w="150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金额</w:t>
            </w:r>
          </w:p>
        </w:tc>
        <w:tc>
          <w:tcPr>
            <w:tcW w:w="3257"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项目</w:t>
            </w:r>
          </w:p>
        </w:tc>
        <w:tc>
          <w:tcPr>
            <w:tcW w:w="443"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行次</w:t>
            </w:r>
          </w:p>
        </w:tc>
        <w:tc>
          <w:tcPr>
            <w:tcW w:w="1508" w:type="dxa"/>
            <w:gridSpan w:val="2"/>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合计</w:t>
            </w:r>
          </w:p>
        </w:tc>
        <w:tc>
          <w:tcPr>
            <w:tcW w:w="1418"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一般公共预算财政拨款</w:t>
            </w:r>
          </w:p>
        </w:tc>
        <w:tc>
          <w:tcPr>
            <w:tcW w:w="1275"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政府性基金预算财政拨款</w:t>
            </w:r>
          </w:p>
        </w:tc>
        <w:tc>
          <w:tcPr>
            <w:tcW w:w="156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国有资本经营预算财政拨款</w:t>
            </w:r>
          </w:p>
        </w:tc>
      </w:tr>
      <w:tr>
        <w:trPr>
          <w:trHeight w:val="663"/>
        </w:trPr>
        <w:tc>
          <w:tcPr>
            <w:tcW w:w="3290" w:type="dxa"/>
            <w:vMerge/>
            <w:tcBorders>
              <w:top w:val="nil"/>
              <w:left w:val="single" w:sz="4" w:space="0" w:color="000000"/>
              <w:bottom w:val="single" w:sz="4" w:space="0" w:color="000000"/>
              <w:right w:val="single" w:sz="4" w:space="0" w:color="000000"/>
            </w:tcBorders>
            <w:vAlign w:val="center"/>
          </w:tcPr>
          <w:p/>
        </w:tc>
        <w:tc>
          <w:tcPr>
            <w:tcW w:w="443" w:type="dxa"/>
            <w:vMerge/>
            <w:tcBorders>
              <w:top w:val="nil"/>
              <w:left w:val="nil"/>
              <w:bottom w:val="single" w:sz="4" w:space="0" w:color="000000"/>
              <w:right w:val="single" w:sz="4" w:space="0" w:color="000000"/>
            </w:tcBorders>
            <w:vAlign w:val="center"/>
          </w:tcPr>
          <w:p/>
        </w:tc>
        <w:tc>
          <w:tcPr>
            <w:tcW w:w="1502" w:type="dxa"/>
            <w:vMerge/>
            <w:tcBorders>
              <w:top w:val="nil"/>
              <w:left w:val="nil"/>
              <w:bottom w:val="single" w:sz="4" w:space="0" w:color="000000"/>
              <w:right w:val="single" w:sz="4" w:space="0" w:color="000000"/>
            </w:tcBorders>
            <w:vAlign w:val="center"/>
          </w:tcPr>
          <w:p/>
        </w:tc>
        <w:tc>
          <w:tcPr>
            <w:tcW w:w="3257" w:type="dxa"/>
            <w:vMerge/>
            <w:tcBorders>
              <w:top w:val="nil"/>
              <w:left w:val="nil"/>
              <w:bottom w:val="single" w:sz="4" w:space="0" w:color="000000"/>
              <w:right w:val="single" w:sz="4" w:space="0" w:color="000000"/>
            </w:tcBorders>
            <w:vAlign w:val="center"/>
          </w:tcPr>
          <w:p/>
        </w:tc>
        <w:tc>
          <w:tcPr>
            <w:tcW w:w="443" w:type="dxa"/>
            <w:vMerge/>
            <w:tcBorders>
              <w:top w:val="nil"/>
              <w:left w:val="nil"/>
              <w:bottom w:val="single" w:sz="4" w:space="0" w:color="000000"/>
              <w:right w:val="single" w:sz="4" w:space="0" w:color="000000"/>
            </w:tcBorders>
            <w:vAlign w:val="center"/>
          </w:tcPr>
          <w:p/>
        </w:tc>
        <w:tc>
          <w:tcPr>
            <w:tcW w:w="1508" w:type="dxa"/>
            <w:gridSpan w:val="2"/>
            <w:vMerge/>
            <w:tcBorders>
              <w:top w:val="nil"/>
              <w:left w:val="nil"/>
              <w:bottom w:val="single" w:sz="4" w:space="0" w:color="000000"/>
              <w:right w:val="single" w:sz="4" w:space="0" w:color="000000"/>
            </w:tcBorders>
            <w:vAlign w:val="center"/>
          </w:tcPr>
          <w:p/>
        </w:tc>
        <w:tc>
          <w:tcPr>
            <w:tcW w:w="1418" w:type="dxa"/>
            <w:gridSpan w:val="2"/>
            <w:vMerge/>
            <w:tcBorders>
              <w:top w:val="nil"/>
              <w:left w:val="nil"/>
              <w:bottom w:val="single" w:sz="4" w:space="0" w:color="000000"/>
              <w:right w:val="single" w:sz="4" w:space="0" w:color="000000"/>
            </w:tcBorders>
            <w:vAlign w:val="center"/>
          </w:tcPr>
          <w:p/>
        </w:tc>
        <w:tc>
          <w:tcPr>
            <w:tcW w:w="1275" w:type="dxa"/>
            <w:gridSpan w:val="2"/>
            <w:vMerge/>
            <w:tcBorders>
              <w:top w:val="nil"/>
              <w:left w:val="nil"/>
              <w:bottom w:val="single" w:sz="4" w:space="0" w:color="000000"/>
              <w:right w:val="single" w:sz="4" w:space="0" w:color="000000"/>
            </w:tcBorders>
            <w:vAlign w:val="center"/>
          </w:tcPr>
          <w:p/>
        </w:tc>
        <w:tc>
          <w:tcPr>
            <w:tcW w:w="1560" w:type="dxa"/>
            <w:vMerge/>
            <w:tcBorders>
              <w:top w:val="nil"/>
              <w:left w:val="nil"/>
              <w:bottom w:val="single" w:sz="4" w:space="0" w:color="000000"/>
              <w:right w:val="single" w:sz="4" w:space="0" w:color="000000"/>
            </w:tcBorders>
            <w:vAlign w:val="center"/>
          </w:tcP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　</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　</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3</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4</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5</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一、一般公共预算财政拨款</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2053.80</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一、一般公共服务支出</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13</w:t>
            </w:r>
          </w:p>
        </w:tc>
        <w:tc>
          <w:tcPr>
            <w:tcW w:w="1508" w:type="dxa"/>
            <w:gridSpan w:val="2"/>
            <w:tcBorders>
              <w:top w:val="nil"/>
              <w:left w:val="nil"/>
              <w:bottom w:val="single" w:sz="4" w:space="0" w:color="000000"/>
              <w:right w:val="single" w:sz="4" w:space="0" w:color="000000"/>
            </w:tcBorders>
            <w:shd w:val="clear" w:color="auto" w:fill="auto"/>
            <w:noWrap/>
          </w:tcPr>
          <w:p>
            <w:pPr>
              <w:widowControl/>
              <w:jc w:val="right"/>
              <w:rPr>
                <w:kern w:val="0"/>
                <w:sz w:val="22"/>
                <w:szCs w:val="22"/>
              </w:rPr>
            </w:pPr>
            <w:r>
              <w:rPr>
                <w:kern w:val="0"/>
                <w:sz w:val="22"/>
                <w:szCs w:val="22"/>
              </w:rPr>
              <w:t>1844.50</w:t>
            </w:r>
          </w:p>
        </w:tc>
        <w:tc>
          <w:tcPr>
            <w:tcW w:w="1418" w:type="dxa"/>
            <w:gridSpan w:val="2"/>
            <w:tcBorders>
              <w:top w:val="nil"/>
              <w:left w:val="nil"/>
              <w:bottom w:val="single" w:sz="4" w:space="0" w:color="000000"/>
              <w:right w:val="single" w:sz="4" w:space="0" w:color="000000"/>
            </w:tcBorders>
            <w:shd w:val="clear" w:color="auto" w:fill="auto"/>
            <w:noWrap/>
          </w:tcPr>
          <w:p>
            <w:pPr>
              <w:pStyle w:val="258"/>
              <w:widowControl/>
              <w:jc w:val="right"/>
              <w:rPr>
                <w:kern w:val="0"/>
                <w:sz w:val="22"/>
                <w:szCs w:val="22"/>
              </w:rPr>
            </w:pPr>
            <w:r>
              <w:rPr>
                <w:kern w:val="0"/>
                <w:sz w:val="22"/>
                <w:szCs w:val="22"/>
              </w:rPr>
              <w:t>1844.50</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257" w:type="dxa"/>
            <w:tcBorders>
              <w:top w:val="nil"/>
              <w:left w:val="nil"/>
              <w:bottom w:val="single" w:sz="4" w:space="0" w:color="000000"/>
              <w:right w:val="single" w:sz="4" w:space="0" w:color="000000"/>
            </w:tcBorders>
            <w:shd w:val="clear" w:color="auto" w:fill="auto"/>
            <w:noWrap/>
            <w:vAlign w:val="center"/>
          </w:tcPr>
          <w:p>
            <w:pPr>
              <w:pStyle w:val="206"/>
              <w:widowControl/>
              <w:jc w:val="left"/>
              <w:rPr>
                <w:rFonts w:ascii="宋体" w:cs="Arial"/>
                <w:kern w:val="0"/>
                <w:sz w:val="22"/>
                <w:szCs w:val="22"/>
              </w:rPr>
            </w:pPr>
            <w:r>
              <w:rPr>
                <w:rFonts w:ascii="宋体" w:cs="Arial"/>
                <w:kern w:val="0"/>
                <w:sz w:val="22"/>
                <w:szCs w:val="22"/>
              </w:rPr>
              <w:t>二</w:t>
            </w:r>
            <w:r>
              <w:rPr>
                <w:rFonts w:ascii="宋体" w:cs="Arial" w:hint="eastAsia"/>
                <w:kern w:val="0"/>
                <w:sz w:val="22"/>
                <w:szCs w:val="22"/>
              </w:rPr>
              <w:t>、社会保障和就业支出</w:t>
            </w:r>
          </w:p>
        </w:tc>
        <w:tc>
          <w:tcPr>
            <w:tcW w:w="443" w:type="dxa"/>
            <w:tcBorders>
              <w:top w:val="nil"/>
              <w:left w:val="nil"/>
              <w:bottom w:val="single" w:sz="4" w:space="0" w:color="000000"/>
              <w:right w:val="single" w:sz="4" w:space="0" w:color="000000"/>
            </w:tcBorders>
            <w:shd w:val="clear" w:color="auto" w:fill="auto"/>
            <w:noWrap/>
            <w:vAlign w:val="center"/>
          </w:tcPr>
          <w:p>
            <w:pPr>
              <w:pStyle w:val="207"/>
              <w:widowControl/>
              <w:jc w:val="center"/>
              <w:rPr>
                <w:rFonts w:ascii="宋体" w:cs="Arial"/>
                <w:kern w:val="0"/>
                <w:sz w:val="22"/>
                <w:szCs w:val="22"/>
              </w:rPr>
            </w:pPr>
            <w:r>
              <w:rPr>
                <w:rFonts w:ascii="宋体" w:cs="Arial" w:hint="eastAsia"/>
                <w:kern w:val="0"/>
                <w:sz w:val="22"/>
                <w:szCs w:val="22"/>
              </w:rPr>
              <w:t>15</w:t>
            </w:r>
          </w:p>
        </w:tc>
        <w:tc>
          <w:tcPr>
            <w:tcW w:w="1508" w:type="dxa"/>
            <w:gridSpan w:val="2"/>
            <w:tcBorders>
              <w:top w:val="nil"/>
              <w:left w:val="nil"/>
              <w:bottom w:val="single" w:sz="4" w:space="0" w:color="000000"/>
              <w:right w:val="single" w:sz="4" w:space="0" w:color="000000"/>
            </w:tcBorders>
            <w:shd w:val="clear" w:color="auto" w:fill="auto"/>
            <w:noWrap/>
            <w:vAlign w:val="center"/>
          </w:tcPr>
          <w:p>
            <w:pPr>
              <w:pStyle w:val="208"/>
              <w:widowControl/>
              <w:jc w:val="right"/>
              <w:rPr>
                <w:kern w:val="0"/>
                <w:sz w:val="22"/>
                <w:szCs w:val="22"/>
              </w:rPr>
            </w:pPr>
            <w:r>
              <w:rPr>
                <w:kern w:val="0"/>
                <w:sz w:val="22"/>
                <w:szCs w:val="22"/>
              </w:rPr>
              <w:t>159.30</w:t>
            </w:r>
          </w:p>
        </w:tc>
        <w:tc>
          <w:tcPr>
            <w:tcW w:w="1418" w:type="dxa"/>
            <w:gridSpan w:val="2"/>
            <w:tcBorders>
              <w:top w:val="nil"/>
              <w:left w:val="nil"/>
              <w:bottom w:val="single" w:sz="4" w:space="0" w:color="000000"/>
              <w:right w:val="single" w:sz="4" w:space="0" w:color="000000"/>
            </w:tcBorders>
            <w:shd w:val="clear" w:color="auto" w:fill="auto"/>
            <w:noWrap/>
            <w:vAlign w:val="center"/>
          </w:tcPr>
          <w:p>
            <w:pPr>
              <w:pStyle w:val="259"/>
              <w:widowControl/>
              <w:jc w:val="right"/>
              <w:rPr>
                <w:kern w:val="0"/>
                <w:sz w:val="22"/>
                <w:szCs w:val="22"/>
              </w:rPr>
            </w:pPr>
            <w:r>
              <w:rPr>
                <w:kern w:val="0"/>
                <w:sz w:val="22"/>
                <w:szCs w:val="22"/>
              </w:rPr>
              <w:t>159.30</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3</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257" w:type="dxa"/>
            <w:tcBorders>
              <w:top w:val="nil"/>
              <w:left w:val="nil"/>
              <w:bottom w:val="single" w:sz="4" w:space="0" w:color="000000"/>
              <w:right w:val="single" w:sz="4" w:space="0" w:color="000000"/>
            </w:tcBorders>
            <w:shd w:val="clear" w:color="auto" w:fill="auto"/>
            <w:noWrap/>
            <w:vAlign w:val="center"/>
          </w:tcPr>
          <w:p>
            <w:pPr>
              <w:pStyle w:val="210"/>
              <w:widowControl/>
              <w:jc w:val="left"/>
              <w:rPr>
                <w:rFonts w:ascii="宋体" w:cs="Arial"/>
                <w:kern w:val="0"/>
                <w:sz w:val="22"/>
                <w:szCs w:val="22"/>
              </w:rPr>
            </w:pPr>
            <w:r>
              <w:rPr>
                <w:rFonts w:ascii="宋体" w:cs="Arial"/>
                <w:kern w:val="0"/>
                <w:sz w:val="22"/>
                <w:szCs w:val="22"/>
              </w:rPr>
              <w:t>三、住房保障支出</w:t>
            </w:r>
          </w:p>
        </w:tc>
        <w:tc>
          <w:tcPr>
            <w:tcW w:w="443" w:type="dxa"/>
            <w:tcBorders>
              <w:top w:val="nil"/>
              <w:left w:val="nil"/>
              <w:bottom w:val="single" w:sz="4" w:space="0" w:color="000000"/>
              <w:right w:val="single" w:sz="4" w:space="0" w:color="000000"/>
            </w:tcBorders>
            <w:shd w:val="clear" w:color="auto" w:fill="auto"/>
            <w:noWrap/>
            <w:vAlign w:val="center"/>
          </w:tcPr>
          <w:p>
            <w:pPr>
              <w:pStyle w:val="211"/>
              <w:widowControl/>
              <w:jc w:val="center"/>
              <w:rPr>
                <w:rFonts w:ascii="宋体" w:cs="Arial"/>
                <w:kern w:val="0"/>
                <w:sz w:val="22"/>
                <w:szCs w:val="22"/>
              </w:rPr>
            </w:pPr>
            <w:r>
              <w:rPr>
                <w:rFonts w:ascii="宋体" w:cs="Arial" w:hint="eastAsia"/>
                <w:kern w:val="0"/>
                <w:sz w:val="22"/>
                <w:szCs w:val="22"/>
              </w:rPr>
              <w:t>17</w:t>
            </w:r>
          </w:p>
        </w:tc>
        <w:tc>
          <w:tcPr>
            <w:tcW w:w="1508" w:type="dxa"/>
            <w:gridSpan w:val="2"/>
            <w:tcBorders>
              <w:top w:val="nil"/>
              <w:left w:val="nil"/>
              <w:bottom w:val="single" w:sz="4" w:space="0" w:color="000000"/>
              <w:right w:val="single" w:sz="4" w:space="0" w:color="000000"/>
            </w:tcBorders>
            <w:shd w:val="clear" w:color="auto" w:fill="auto"/>
            <w:noWrap/>
            <w:vAlign w:val="center"/>
          </w:tcPr>
          <w:p>
            <w:pPr>
              <w:pStyle w:val="212"/>
              <w:widowControl/>
              <w:jc w:val="right"/>
              <w:rPr>
                <w:kern w:val="0"/>
                <w:sz w:val="22"/>
                <w:szCs w:val="22"/>
              </w:rPr>
            </w:pPr>
            <w:r>
              <w:rPr>
                <w:kern w:val="0"/>
                <w:sz w:val="22"/>
                <w:szCs w:val="22"/>
              </w:rPr>
              <w:t>50.00</w:t>
            </w:r>
          </w:p>
        </w:tc>
        <w:tc>
          <w:tcPr>
            <w:tcW w:w="1418" w:type="dxa"/>
            <w:gridSpan w:val="2"/>
            <w:tcBorders>
              <w:top w:val="nil"/>
              <w:left w:val="nil"/>
              <w:bottom w:val="single" w:sz="4" w:space="0" w:color="000000"/>
              <w:right w:val="single" w:sz="4" w:space="0" w:color="000000"/>
            </w:tcBorders>
            <w:shd w:val="clear" w:color="auto" w:fill="auto"/>
            <w:noWrap/>
            <w:vAlign w:val="center"/>
          </w:tcPr>
          <w:p>
            <w:pPr>
              <w:pStyle w:val="260"/>
              <w:widowControl/>
              <w:jc w:val="right"/>
              <w:rPr>
                <w:kern w:val="0"/>
                <w:sz w:val="22"/>
                <w:szCs w:val="22"/>
              </w:rPr>
            </w:pPr>
            <w:r>
              <w:rPr>
                <w:kern w:val="0"/>
                <w:sz w:val="22"/>
                <w:szCs w:val="22"/>
              </w:rPr>
              <w:t>50.00</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4</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kern w:val="0"/>
                <w:sz w:val="22"/>
                <w:szCs w:val="22"/>
              </w:rPr>
              <w:t>四、其他支出</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16</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56.24</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kern w:val="0"/>
                <w:sz w:val="22"/>
                <w:szCs w:val="22"/>
              </w:rPr>
              <w:t>56.24</w:t>
            </w: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40"/>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5</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17</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本年收入合计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7</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2053.80</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本年支出合计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18</w:t>
            </w:r>
          </w:p>
        </w:tc>
        <w:tc>
          <w:tcPr>
            <w:tcW w:w="1508" w:type="dxa"/>
            <w:gridSpan w:val="2"/>
            <w:tcBorders>
              <w:top w:val="nil"/>
              <w:left w:val="nil"/>
              <w:bottom w:val="single" w:sz="4" w:space="0" w:color="000000"/>
              <w:right w:val="single" w:sz="4" w:space="0" w:color="000000"/>
            </w:tcBorders>
            <w:shd w:val="clear" w:color="auto" w:fill="auto"/>
            <w:noWrap/>
          </w:tcPr>
          <w:p>
            <w:pPr>
              <w:widowControl/>
              <w:jc w:val="center"/>
              <w:rPr>
                <w:b/>
                <w:bCs/>
                <w:kern w:val="0"/>
                <w:sz w:val="22"/>
                <w:szCs w:val="22"/>
              </w:rPr>
            </w:pPr>
            <w:r>
              <w:rPr>
                <w:rFonts w:hint="eastAsia"/>
                <w:b/>
                <w:bCs/>
                <w:kern w:val="0"/>
                <w:sz w:val="22"/>
                <w:szCs w:val="22"/>
              </w:rPr>
              <w:t xml:space="preserve">   </w:t>
            </w:r>
            <w:r>
              <w:rPr>
                <w:b/>
                <w:bCs/>
                <w:kern w:val="0"/>
                <w:sz w:val="22"/>
                <w:szCs w:val="22"/>
              </w:rPr>
              <w:t>2110.04</w:t>
            </w:r>
          </w:p>
        </w:tc>
        <w:tc>
          <w:tcPr>
            <w:tcW w:w="1418" w:type="dxa"/>
            <w:gridSpan w:val="2"/>
            <w:tcBorders>
              <w:top w:val="nil"/>
              <w:left w:val="nil"/>
              <w:bottom w:val="single" w:sz="4" w:space="0" w:color="000000"/>
              <w:right w:val="single" w:sz="4" w:space="0" w:color="000000"/>
            </w:tcBorders>
            <w:shd w:val="clear" w:color="auto" w:fill="auto"/>
            <w:noWrap/>
          </w:tcPr>
          <w:p>
            <w:pPr>
              <w:widowControl/>
              <w:jc w:val="right"/>
              <w:rPr>
                <w:b/>
                <w:bCs/>
                <w:kern w:val="0"/>
                <w:sz w:val="22"/>
                <w:szCs w:val="22"/>
              </w:rPr>
            </w:pPr>
            <w:r>
              <w:rPr>
                <w:b/>
                <w:bCs/>
                <w:kern w:val="0"/>
                <w:sz w:val="22"/>
                <w:szCs w:val="22"/>
              </w:rPr>
              <w:t>2053.80</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szCs w:val="22"/>
              </w:rPr>
            </w:pPr>
            <w:r>
              <w:rPr>
                <w:rFonts w:ascii="宋体" w:cs="Arial"/>
                <w:b/>
                <w:bCs/>
                <w:kern w:val="0"/>
                <w:sz w:val="22"/>
                <w:szCs w:val="22"/>
              </w:rPr>
              <w:t>56.24</w:t>
            </w:r>
            <w:r>
              <w:rPr>
                <w:rFonts w:ascii="宋体" w:cs="Arial" w:hint="eastAsia"/>
                <w:b/>
                <w:bCs/>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szCs w:val="22"/>
              </w:rPr>
            </w:pPr>
            <w:r>
              <w:rPr>
                <w:rFonts w:ascii="宋体" w:cs="Arial" w:hint="eastAsia"/>
                <w:b/>
                <w:bCs/>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年初财政拨款结转和结余</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8</w:t>
            </w:r>
          </w:p>
        </w:tc>
        <w:tc>
          <w:tcPr>
            <w:tcW w:w="1502" w:type="dxa"/>
            <w:tcBorders>
              <w:top w:val="nil"/>
              <w:left w:val="nil"/>
              <w:bottom w:val="single" w:sz="4" w:space="0" w:color="000000"/>
              <w:right w:val="single" w:sz="4" w:space="0" w:color="000000"/>
            </w:tcBorders>
            <w:shd w:val="clear" w:color="auto" w:fill="auto"/>
            <w:noWrap/>
          </w:tcPr>
          <w:p>
            <w:pPr>
              <w:widowControl/>
              <w:jc w:val="right"/>
              <w:rPr>
                <w:kern w:val="0"/>
                <w:sz w:val="22"/>
                <w:szCs w:val="22"/>
              </w:rPr>
            </w:pPr>
            <w:r>
              <w:rPr>
                <w:kern w:val="0"/>
                <w:sz w:val="22"/>
                <w:szCs w:val="22"/>
              </w:rPr>
              <w:t>149.96</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年末财政拨款结转和结余</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19</w:t>
            </w:r>
          </w:p>
        </w:tc>
        <w:tc>
          <w:tcPr>
            <w:tcW w:w="1508" w:type="dxa"/>
            <w:gridSpan w:val="2"/>
            <w:tcBorders>
              <w:top w:val="nil"/>
              <w:left w:val="nil"/>
              <w:bottom w:val="single" w:sz="4" w:space="0" w:color="000000"/>
              <w:right w:val="single" w:sz="4" w:space="0" w:color="000000"/>
            </w:tcBorders>
            <w:shd w:val="clear" w:color="auto" w:fill="auto"/>
            <w:noWrap/>
          </w:tcPr>
          <w:p>
            <w:pPr>
              <w:widowControl/>
              <w:jc w:val="right"/>
              <w:rPr>
                <w:kern w:val="0"/>
                <w:sz w:val="22"/>
                <w:szCs w:val="22"/>
              </w:rPr>
            </w:pPr>
            <w:r>
              <w:rPr>
                <w:kern w:val="0"/>
                <w:sz w:val="22"/>
                <w:szCs w:val="22"/>
              </w:rPr>
              <w:t>93.72</w:t>
            </w:r>
          </w:p>
        </w:tc>
        <w:tc>
          <w:tcPr>
            <w:tcW w:w="1418" w:type="dxa"/>
            <w:gridSpan w:val="2"/>
            <w:tcBorders>
              <w:top w:val="nil"/>
              <w:left w:val="nil"/>
              <w:bottom w:val="single" w:sz="4" w:space="0" w:color="000000"/>
              <w:right w:val="single" w:sz="4" w:space="0" w:color="000000"/>
            </w:tcBorders>
            <w:shd w:val="clear" w:color="auto" w:fill="auto"/>
            <w:noWrap/>
          </w:tcPr>
          <w:p>
            <w:pPr>
              <w:widowControl/>
              <w:jc w:val="right"/>
              <w:rPr>
                <w:kern w:val="0"/>
                <w:sz w:val="22"/>
                <w:szCs w:val="22"/>
              </w:rPr>
            </w:pP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kern w:val="0"/>
                <w:sz w:val="22"/>
                <w:szCs w:val="22"/>
              </w:rPr>
              <w:t>93.72</w:t>
            </w: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一般公共预算财政拨款</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9</w:t>
            </w:r>
          </w:p>
        </w:tc>
        <w:tc>
          <w:tcPr>
            <w:tcW w:w="1502" w:type="dxa"/>
            <w:tcBorders>
              <w:top w:val="nil"/>
              <w:left w:val="nil"/>
              <w:bottom w:val="single" w:sz="4" w:space="0" w:color="000000"/>
              <w:right w:val="single" w:sz="4" w:space="0" w:color="000000"/>
            </w:tcBorders>
            <w:shd w:val="clear" w:color="auto" w:fill="auto"/>
            <w:noWrap/>
          </w:tcPr>
          <w:p>
            <w:pPr>
              <w:widowControl/>
              <w:jc w:val="center"/>
              <w:rPr>
                <w:kern w:val="0"/>
                <w:sz w:val="22"/>
                <w:szCs w:val="22"/>
              </w:rPr>
            </w:pPr>
            <w:r>
              <w:rPr>
                <w:rFonts w:hint="eastAsia"/>
                <w:kern w:val="0"/>
                <w:sz w:val="22"/>
                <w:szCs w:val="22"/>
              </w:rPr>
              <w:t xml:space="preserve">     </w:t>
            </w:r>
            <w:r>
              <w:rPr>
                <w:kern w:val="0"/>
                <w:sz w:val="22"/>
                <w:szCs w:val="22"/>
              </w:rPr>
              <w:t xml:space="preserve"> </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20</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政府性基金预算财政拨款</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10</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149.96　</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21</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国有资本经营预算财政拨款</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11</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22</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　</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3290" w:type="dxa"/>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总计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12</w:t>
            </w:r>
          </w:p>
        </w:tc>
        <w:tc>
          <w:tcPr>
            <w:tcW w:w="1502" w:type="dxa"/>
            <w:tcBorders>
              <w:top w:val="nil"/>
              <w:left w:val="nil"/>
              <w:bottom w:val="single" w:sz="4" w:space="0" w:color="000000"/>
              <w:right w:val="single" w:sz="4" w:space="0" w:color="000000"/>
            </w:tcBorders>
            <w:shd w:val="clear" w:color="auto" w:fill="auto"/>
            <w:noWrap/>
            <w:vAlign w:val="center"/>
          </w:tcPr>
          <w:p>
            <w:pPr>
              <w:widowControl/>
              <w:jc w:val="right"/>
              <w:rPr>
                <w:b/>
                <w:kern w:val="0"/>
                <w:sz w:val="22"/>
                <w:szCs w:val="22"/>
              </w:rPr>
            </w:pPr>
            <w:r>
              <w:rPr>
                <w:b/>
                <w:kern w:val="0"/>
                <w:sz w:val="22"/>
                <w:szCs w:val="22"/>
              </w:rPr>
              <w:t>2203.76</w:t>
            </w:r>
          </w:p>
        </w:tc>
        <w:tc>
          <w:tcPr>
            <w:tcW w:w="3257"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总计</w:t>
            </w:r>
          </w:p>
        </w:tc>
        <w:tc>
          <w:tcPr>
            <w:tcW w:w="443"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23</w:t>
            </w:r>
          </w:p>
        </w:tc>
        <w:tc>
          <w:tcPr>
            <w:tcW w:w="1508" w:type="dxa"/>
            <w:gridSpan w:val="2"/>
            <w:tcBorders>
              <w:top w:val="nil"/>
              <w:left w:val="nil"/>
              <w:bottom w:val="single" w:sz="4" w:space="0" w:color="000000"/>
              <w:right w:val="single" w:sz="4" w:space="0" w:color="000000"/>
            </w:tcBorders>
            <w:shd w:val="clear" w:color="auto" w:fill="auto"/>
            <w:noWrap/>
            <w:vAlign w:val="center"/>
          </w:tcPr>
          <w:p>
            <w:pPr>
              <w:widowControl/>
              <w:jc w:val="right"/>
              <w:rPr>
                <w:b/>
                <w:kern w:val="0"/>
                <w:sz w:val="22"/>
                <w:szCs w:val="22"/>
              </w:rPr>
            </w:pPr>
            <w:r>
              <w:rPr>
                <w:b/>
                <w:kern w:val="0"/>
                <w:sz w:val="22"/>
                <w:szCs w:val="22"/>
              </w:rPr>
              <w:t>2203.76</w:t>
            </w:r>
          </w:p>
        </w:tc>
        <w:tc>
          <w:tcPr>
            <w:tcW w:w="1418" w:type="dxa"/>
            <w:gridSpan w:val="2"/>
            <w:tcBorders>
              <w:top w:val="nil"/>
              <w:left w:val="nil"/>
              <w:bottom w:val="single" w:sz="4" w:space="0" w:color="000000"/>
              <w:right w:val="single" w:sz="4" w:space="0" w:color="000000"/>
            </w:tcBorders>
            <w:shd w:val="clear" w:color="auto" w:fill="auto"/>
            <w:noWrap/>
            <w:vAlign w:val="center"/>
          </w:tcPr>
          <w:p>
            <w:pPr>
              <w:widowControl/>
              <w:jc w:val="right"/>
              <w:rPr>
                <w:b/>
                <w:kern w:val="0"/>
                <w:sz w:val="22"/>
                <w:szCs w:val="22"/>
              </w:rPr>
            </w:pPr>
            <w:r>
              <w:rPr>
                <w:b/>
                <w:kern w:val="0"/>
                <w:sz w:val="22"/>
                <w:szCs w:val="22"/>
              </w:rPr>
              <w:t>2053.80</w:t>
            </w:r>
          </w:p>
        </w:tc>
        <w:tc>
          <w:tcPr>
            <w:tcW w:w="1275" w:type="dxa"/>
            <w:gridSpan w:val="2"/>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cs="Arial"/>
                <w:b/>
                <w:kern w:val="0"/>
                <w:sz w:val="22"/>
                <w:szCs w:val="22"/>
              </w:rPr>
              <w:t>149.96</w:t>
            </w:r>
            <w:r>
              <w:rPr>
                <w:rFonts w:ascii="宋体" w:cs="Arial" w:hint="eastAsia"/>
                <w:kern w:val="0"/>
                <w:sz w:val="22"/>
                <w:szCs w:val="22"/>
              </w:rPr>
              <w:t>　</w:t>
            </w:r>
          </w:p>
        </w:tc>
        <w:tc>
          <w:tcPr>
            <w:tcW w:w="1560"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2"/>
        </w:trPr>
        <w:tc>
          <w:tcPr>
            <w:tcW w:w="13136" w:type="dxa"/>
            <w:gridSpan w:val="11"/>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注：本表反映部门本年度一般公共预算财政拨款、政府性基金预算财政拨款和国有资本经营预算财政拨款的总收支和年末结转结余情况。</w:t>
            </w:r>
          </w:p>
        </w:tc>
        <w:tc>
          <w:tcPr>
            <w:tcW w:w="1560" w:type="dxa"/>
            <w:tcBorders>
              <w:top w:val="nil"/>
              <w:left w:val="nil"/>
              <w:bottom w:val="nil"/>
              <w:right w:val="nil"/>
            </w:tcBorders>
            <w:shd w:val="clear" w:color="auto" w:fill="auto"/>
            <w:noWrap/>
            <w:vAlign w:val="center"/>
          </w:tcPr>
          <w:p>
            <w:pPr>
              <w:widowControl/>
              <w:jc w:val="left"/>
              <w:rPr>
                <w:rFonts w:ascii="宋体" w:cs="Arial"/>
                <w:kern w:val="0"/>
                <w:sz w:val="20"/>
                <w:szCs w:val="20"/>
              </w:rPr>
            </w:pPr>
            <w:r>
              <w:rPr>
                <w:rFonts w:ascii="宋体" w:cs="Arial" w:hint="eastAsia"/>
                <w:kern w:val="0"/>
                <w:sz w:val="20"/>
                <w:szCs w:val="20"/>
              </w:rPr>
              <w:t xml:space="preserve">       </w:t>
            </w:r>
          </w:p>
        </w:tc>
      </w:tr>
    </w:tbl>
    <w:p>
      <w:r>
        <w:rPr>
          <w:color w:val="FF0000"/>
        </w:rPr>
        <w:br w:type="page"/>
      </w:r>
    </w:p>
    <w:tbl>
      <w:tblPr>
        <w:jc w:val="left"/>
        <w:tblInd w:w="93" w:type="dxa"/>
        <w:tblW w:w="14049"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00"/>
        <w:gridCol w:w="314"/>
        <w:gridCol w:w="272"/>
        <w:gridCol w:w="4841"/>
        <w:gridCol w:w="2977"/>
        <w:gridCol w:w="358"/>
        <w:gridCol w:w="2335"/>
        <w:gridCol w:w="404"/>
        <w:gridCol w:w="2148"/>
      </w:tblGrid>
      <w:tr>
        <w:trPr>
          <w:trHeight w:val="390"/>
        </w:trPr>
        <w:tc>
          <w:tcPr>
            <w:tcW w:w="14049" w:type="dxa"/>
            <w:gridSpan w:val="9"/>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一般公共预算财政拨款支出决算表</w:t>
            </w:r>
          </w:p>
        </w:tc>
      </w:tr>
      <w:tr>
        <w:trPr>
          <w:trHeight w:val="255"/>
        </w:trPr>
        <w:tc>
          <w:tcPr>
            <w:tcW w:w="4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14"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841"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335"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39"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48"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公开05表</w:t>
            </w:r>
          </w:p>
        </w:tc>
      </w:tr>
      <w:tr>
        <w:trPr>
          <w:trHeight w:val="255"/>
        </w:trPr>
        <w:tc>
          <w:tcPr>
            <w:tcW w:w="5827" w:type="dxa"/>
            <w:gridSpan w:val="4"/>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3335"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39"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148"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08"/>
        </w:trPr>
        <w:tc>
          <w:tcPr>
            <w:tcW w:w="582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8222" w:type="dxa"/>
            <w:gridSpan w:val="5"/>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本年支出</w:t>
            </w:r>
          </w:p>
        </w:tc>
      </w:tr>
      <w:tr>
        <w:trPr>
          <w:trHeight w:val="308"/>
        </w:trPr>
        <w:tc>
          <w:tcPr>
            <w:tcW w:w="986"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科目代码</w:t>
            </w:r>
          </w:p>
        </w:tc>
        <w:tc>
          <w:tcPr>
            <w:tcW w:w="4841"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2977"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小计</w:t>
            </w:r>
          </w:p>
        </w:tc>
        <w:tc>
          <w:tcPr>
            <w:tcW w:w="2693"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基本支出</w:t>
            </w:r>
          </w:p>
        </w:tc>
        <w:tc>
          <w:tcPr>
            <w:tcW w:w="2552" w:type="dxa"/>
            <w:gridSpan w:val="2"/>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项目支出</w:t>
            </w:r>
          </w:p>
        </w:tc>
      </w:tr>
      <w:tr>
        <w:trPr>
          <w:trHeight w:val="285"/>
        </w:trPr>
        <w:tc>
          <w:tcPr>
            <w:tcW w:w="986" w:type="dxa"/>
            <w:gridSpan w:val="3"/>
            <w:vMerge/>
            <w:tcBorders>
              <w:top w:val="nil"/>
              <w:left w:val="single" w:sz="4" w:space="0" w:color="000000"/>
              <w:bottom w:val="single" w:sz="4" w:space="0" w:color="000000"/>
              <w:right w:val="single" w:sz="4" w:space="0" w:color="000000"/>
            </w:tcBorders>
            <w:vAlign w:val="center"/>
          </w:tcPr>
          <w:p/>
        </w:tc>
        <w:tc>
          <w:tcPr>
            <w:tcW w:w="4841" w:type="dxa"/>
            <w:vMerge/>
            <w:tcBorders>
              <w:top w:val="nil"/>
              <w:left w:val="nil"/>
              <w:bottom w:val="single" w:sz="4" w:space="0" w:color="000000"/>
              <w:right w:val="single" w:sz="4" w:space="0" w:color="000000"/>
            </w:tcBorders>
            <w:vAlign w:val="center"/>
          </w:tcPr>
          <w:p/>
        </w:tc>
        <w:tc>
          <w:tcPr>
            <w:tcW w:w="2977" w:type="dxa"/>
            <w:vMerge/>
            <w:tcBorders>
              <w:top w:val="nil"/>
              <w:left w:val="nil"/>
              <w:bottom w:val="single" w:sz="4" w:space="0" w:color="000000"/>
              <w:right w:val="single" w:sz="4" w:space="0" w:color="000000"/>
            </w:tcBorders>
            <w:vAlign w:val="center"/>
          </w:tcPr>
          <w:p/>
        </w:tc>
        <w:tc>
          <w:tcPr>
            <w:tcW w:w="2693" w:type="dxa"/>
            <w:gridSpan w:val="2"/>
            <w:vMerge/>
            <w:tcBorders>
              <w:top w:val="nil"/>
              <w:left w:val="nil"/>
              <w:bottom w:val="single" w:sz="4" w:space="0" w:color="000000"/>
              <w:right w:val="single" w:sz="4" w:space="0" w:color="000000"/>
            </w:tcBorders>
            <w:vAlign w:val="center"/>
          </w:tcPr>
          <w:p/>
        </w:tc>
        <w:tc>
          <w:tcPr>
            <w:tcW w:w="2552" w:type="dxa"/>
            <w:gridSpan w:val="2"/>
            <w:vMerge/>
            <w:tcBorders>
              <w:top w:val="nil"/>
              <w:left w:val="nil"/>
              <w:bottom w:val="single" w:sz="4" w:space="0" w:color="000000"/>
              <w:right w:val="single" w:sz="4" w:space="0" w:color="000000"/>
            </w:tcBorders>
            <w:vAlign w:val="center"/>
          </w:tcPr>
          <w:p/>
        </w:tc>
      </w:tr>
      <w:tr>
        <w:trPr>
          <w:trHeight w:val="308"/>
        </w:trPr>
        <w:tc>
          <w:tcPr>
            <w:tcW w:w="986" w:type="dxa"/>
            <w:gridSpan w:val="3"/>
            <w:vMerge/>
            <w:tcBorders>
              <w:top w:val="nil"/>
              <w:left w:val="single" w:sz="4" w:space="0" w:color="000000"/>
              <w:bottom w:val="single" w:sz="4" w:space="0" w:color="000000"/>
              <w:right w:val="single" w:sz="4" w:space="0" w:color="000000"/>
            </w:tcBorders>
            <w:vAlign w:val="center"/>
          </w:tcPr>
          <w:p/>
        </w:tc>
        <w:tc>
          <w:tcPr>
            <w:tcW w:w="4841" w:type="dxa"/>
            <w:vMerge/>
            <w:tcBorders>
              <w:top w:val="nil"/>
              <w:left w:val="nil"/>
              <w:bottom w:val="single" w:sz="4" w:space="0" w:color="000000"/>
              <w:right w:val="single" w:sz="4" w:space="0" w:color="000000"/>
            </w:tcBorders>
            <w:vAlign w:val="center"/>
          </w:tcPr>
          <w:p/>
        </w:tc>
        <w:tc>
          <w:tcPr>
            <w:tcW w:w="2977" w:type="dxa"/>
            <w:vMerge/>
            <w:tcBorders>
              <w:top w:val="nil"/>
              <w:left w:val="nil"/>
              <w:bottom w:val="single" w:sz="4" w:space="0" w:color="000000"/>
              <w:right w:val="single" w:sz="4" w:space="0" w:color="000000"/>
            </w:tcBorders>
            <w:vAlign w:val="center"/>
          </w:tcPr>
          <w:p/>
        </w:tc>
        <w:tc>
          <w:tcPr>
            <w:tcW w:w="2693" w:type="dxa"/>
            <w:gridSpan w:val="2"/>
            <w:vMerge/>
            <w:tcBorders>
              <w:top w:val="nil"/>
              <w:left w:val="nil"/>
              <w:bottom w:val="single" w:sz="4" w:space="0" w:color="000000"/>
              <w:right w:val="single" w:sz="4" w:space="0" w:color="000000"/>
            </w:tcBorders>
            <w:vAlign w:val="center"/>
          </w:tcPr>
          <w:p/>
        </w:tc>
        <w:tc>
          <w:tcPr>
            <w:tcW w:w="2552" w:type="dxa"/>
            <w:gridSpan w:val="2"/>
            <w:vMerge/>
            <w:tcBorders>
              <w:top w:val="nil"/>
              <w:left w:val="nil"/>
              <w:bottom w:val="single" w:sz="4" w:space="0" w:color="000000"/>
              <w:right w:val="single" w:sz="4" w:space="0" w:color="000000"/>
            </w:tcBorders>
            <w:vAlign w:val="center"/>
          </w:tcPr>
          <w:p/>
        </w:tc>
      </w:tr>
      <w:tr>
        <w:trPr>
          <w:trHeight w:val="308"/>
        </w:trPr>
        <w:tc>
          <w:tcPr>
            <w:tcW w:w="582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2977"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2693"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2552" w:type="dxa"/>
            <w:gridSpan w:val="2"/>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3</w:t>
            </w:r>
          </w:p>
        </w:tc>
      </w:tr>
      <w:tr>
        <w:trPr>
          <w:trHeight w:val="308"/>
        </w:trPr>
        <w:tc>
          <w:tcPr>
            <w:tcW w:w="5827"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合计</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2,053.80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1,619.30 </w:t>
            </w: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434.50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201</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一般公共服务支出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1,844.50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1,410.00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434.50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海关事务</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1,844.50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1,410.00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434.50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2010901</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行政运行</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780.00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780.00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2010903</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机关服务</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62.00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62.00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2010905</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缉私办案</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5.00 </w:t>
            </w:r>
          </w:p>
        </w:tc>
        <w:tc>
          <w:tcPr>
            <w:tcW w:w="2693" w:type="dxa"/>
            <w:gridSpan w:val="2"/>
            <w:tcBorders>
              <w:top w:val="nil"/>
              <w:left w:val="nil"/>
              <w:bottom w:val="single" w:sz="4" w:space="0" w:color="000000"/>
              <w:right w:val="single" w:sz="4" w:space="0" w:color="000000"/>
            </w:tcBorders>
            <w:shd w:val="clear" w:color="auto" w:fill="auto"/>
            <w:noWrap/>
          </w:tcPr>
          <w:p>
            <w:pPr>
              <w:jc w:val="right"/>
              <w:rPr>
                <w:sz w:val="22"/>
              </w:rPr>
            </w:pP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5.00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2010909</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海关关务</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264.50 </w:t>
            </w:r>
          </w:p>
        </w:tc>
        <w:tc>
          <w:tcPr>
            <w:tcW w:w="2693" w:type="dxa"/>
            <w:gridSpan w:val="2"/>
            <w:tcBorders>
              <w:top w:val="nil"/>
              <w:left w:val="nil"/>
              <w:bottom w:val="single" w:sz="4" w:space="0" w:color="000000"/>
              <w:right w:val="single" w:sz="4" w:space="0" w:color="000000"/>
            </w:tcBorders>
            <w:shd w:val="clear" w:color="auto" w:fill="auto"/>
            <w:noWrap/>
          </w:tcPr>
          <w:p>
            <w:pPr>
              <w:jc w:val="right"/>
              <w:rPr>
                <w:sz w:val="22"/>
              </w:rPr>
            </w:pP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264.50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2010912</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检验检疫</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165.00 </w:t>
            </w:r>
          </w:p>
        </w:tc>
        <w:tc>
          <w:tcPr>
            <w:tcW w:w="2693" w:type="dxa"/>
            <w:gridSpan w:val="2"/>
            <w:tcBorders>
              <w:top w:val="nil"/>
              <w:left w:val="nil"/>
              <w:bottom w:val="single" w:sz="4" w:space="0" w:color="000000"/>
              <w:right w:val="single" w:sz="4" w:space="0" w:color="000000"/>
            </w:tcBorders>
            <w:shd w:val="clear" w:color="auto" w:fill="auto"/>
            <w:noWrap/>
          </w:tcPr>
          <w:p>
            <w:pPr>
              <w:jc w:val="right"/>
              <w:rPr>
                <w:sz w:val="22"/>
              </w:rPr>
            </w:pPr>
          </w:p>
        </w:tc>
        <w:tc>
          <w:tcPr>
            <w:tcW w:w="2552"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165.00 </w:t>
            </w: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2010950</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事业运行</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568.00 </w:t>
            </w:r>
          </w:p>
        </w:tc>
        <w:tc>
          <w:tcPr>
            <w:tcW w:w="2693"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568.00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208</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社会保障和就业支出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159.30 </w:t>
            </w:r>
          </w:p>
        </w:tc>
        <w:tc>
          <w:tcPr>
            <w:tcW w:w="2693" w:type="dxa"/>
            <w:gridSpan w:val="2"/>
            <w:tcBorders>
              <w:top w:val="nil"/>
              <w:left w:val="nil"/>
              <w:bottom w:val="single" w:sz="4" w:space="0" w:color="000000"/>
              <w:right w:val="single" w:sz="4" w:space="0" w:color="000000"/>
            </w:tcBorders>
            <w:shd w:val="clear" w:color="auto" w:fill="auto"/>
            <w:noWrap/>
          </w:tcPr>
          <w:p>
            <w:pPr>
              <w:pStyle w:val="214"/>
              <w:jc w:val="right"/>
              <w:rPr>
                <w:rFonts w:ascii="宋体" w:cs="宋体"/>
                <w:sz w:val="22"/>
              </w:rPr>
            </w:pPr>
            <w:r>
              <w:rPr>
                <w:rFonts w:ascii="宋体" w:cs="宋体"/>
                <w:sz w:val="22"/>
              </w:rPr>
              <w:t xml:space="preserve">159.30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20805</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行政事业单位养老支出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159.30 </w:t>
            </w:r>
          </w:p>
        </w:tc>
        <w:tc>
          <w:tcPr>
            <w:tcW w:w="2693" w:type="dxa"/>
            <w:gridSpan w:val="2"/>
            <w:tcBorders>
              <w:top w:val="nil"/>
              <w:left w:val="nil"/>
              <w:bottom w:val="single" w:sz="4" w:space="0" w:color="000000"/>
              <w:right w:val="single" w:sz="4" w:space="0" w:color="000000"/>
            </w:tcBorders>
            <w:shd w:val="clear" w:color="auto" w:fill="auto"/>
            <w:noWrap/>
          </w:tcPr>
          <w:p>
            <w:pPr>
              <w:pStyle w:val="215"/>
              <w:jc w:val="right"/>
              <w:rPr>
                <w:rFonts w:ascii="宋体" w:cs="宋体"/>
                <w:sz w:val="22"/>
              </w:rPr>
            </w:pPr>
            <w:r>
              <w:rPr>
                <w:rFonts w:ascii="宋体" w:cs="宋体"/>
                <w:sz w:val="22"/>
              </w:rPr>
              <w:t xml:space="preserve">159.30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2080505</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机关事业单位基本养老保险缴费支出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107.86 </w:t>
            </w:r>
          </w:p>
        </w:tc>
        <w:tc>
          <w:tcPr>
            <w:tcW w:w="2693" w:type="dxa"/>
            <w:gridSpan w:val="2"/>
            <w:tcBorders>
              <w:top w:val="nil"/>
              <w:left w:val="nil"/>
              <w:bottom w:val="single" w:sz="4" w:space="0" w:color="000000"/>
              <w:right w:val="single" w:sz="4" w:space="0" w:color="000000"/>
            </w:tcBorders>
            <w:shd w:val="clear" w:color="auto" w:fill="auto"/>
            <w:noWrap/>
          </w:tcPr>
          <w:p>
            <w:pPr>
              <w:pStyle w:val="216"/>
              <w:jc w:val="right"/>
              <w:rPr>
                <w:rFonts w:ascii="宋体" w:cs="宋体"/>
                <w:sz w:val="22"/>
              </w:rPr>
            </w:pPr>
            <w:r>
              <w:rPr>
                <w:rFonts w:ascii="宋体" w:cs="宋体"/>
                <w:sz w:val="22"/>
              </w:rPr>
              <w:t xml:space="preserve">107.86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2080506</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机关事业单位职业年金缴费支出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51.44 </w:t>
            </w:r>
          </w:p>
        </w:tc>
        <w:tc>
          <w:tcPr>
            <w:tcW w:w="2693" w:type="dxa"/>
            <w:gridSpan w:val="2"/>
            <w:tcBorders>
              <w:top w:val="nil"/>
              <w:left w:val="nil"/>
              <w:bottom w:val="single" w:sz="4" w:space="0" w:color="000000"/>
              <w:right w:val="single" w:sz="4" w:space="0" w:color="000000"/>
            </w:tcBorders>
            <w:shd w:val="clear" w:color="auto" w:fill="auto"/>
            <w:noWrap/>
          </w:tcPr>
          <w:p>
            <w:pPr>
              <w:pStyle w:val="217"/>
              <w:jc w:val="right"/>
              <w:rPr>
                <w:rFonts w:ascii="宋体" w:cs="宋体"/>
                <w:sz w:val="22"/>
              </w:rPr>
            </w:pPr>
            <w:r>
              <w:rPr>
                <w:rFonts w:ascii="宋体" w:cs="宋体"/>
                <w:sz w:val="22"/>
              </w:rPr>
              <w:t xml:space="preserve">51.44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221</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住房保障支出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50.00 </w:t>
            </w:r>
          </w:p>
        </w:tc>
        <w:tc>
          <w:tcPr>
            <w:tcW w:w="2693" w:type="dxa"/>
            <w:gridSpan w:val="2"/>
            <w:tcBorders>
              <w:top w:val="nil"/>
              <w:left w:val="nil"/>
              <w:bottom w:val="single" w:sz="4" w:space="0" w:color="000000"/>
              <w:right w:val="single" w:sz="4" w:space="0" w:color="000000"/>
            </w:tcBorders>
            <w:shd w:val="clear" w:color="auto" w:fill="auto"/>
            <w:noWrap/>
          </w:tcPr>
          <w:p>
            <w:pPr>
              <w:pStyle w:val="218"/>
              <w:jc w:val="right"/>
              <w:rPr>
                <w:rFonts w:ascii="宋体" w:cs="宋体"/>
                <w:sz w:val="22"/>
              </w:rPr>
            </w:pPr>
            <w:r>
              <w:rPr>
                <w:rFonts w:ascii="宋体" w:cs="宋体"/>
                <w:sz w:val="22"/>
              </w:rPr>
              <w:t xml:space="preserve">50.00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22102</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住房改革支出</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50.00 </w:t>
            </w:r>
          </w:p>
        </w:tc>
        <w:tc>
          <w:tcPr>
            <w:tcW w:w="2693" w:type="dxa"/>
            <w:gridSpan w:val="2"/>
            <w:tcBorders>
              <w:top w:val="nil"/>
              <w:left w:val="nil"/>
              <w:bottom w:val="single" w:sz="4" w:space="0" w:color="000000"/>
              <w:right w:val="single" w:sz="4" w:space="0" w:color="000000"/>
            </w:tcBorders>
            <w:shd w:val="clear" w:color="auto" w:fill="auto"/>
            <w:noWrap/>
          </w:tcPr>
          <w:p>
            <w:pPr>
              <w:pStyle w:val="219"/>
              <w:jc w:val="right"/>
              <w:rPr>
                <w:rFonts w:ascii="宋体" w:cs="宋体"/>
                <w:sz w:val="22"/>
              </w:rPr>
            </w:pPr>
            <w:r>
              <w:rPr>
                <w:rFonts w:ascii="宋体" w:cs="宋体"/>
                <w:sz w:val="22"/>
              </w:rPr>
              <w:t xml:space="preserve">50.00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986"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2210201</w:t>
            </w:r>
          </w:p>
        </w:tc>
        <w:tc>
          <w:tcPr>
            <w:tcW w:w="4841"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住房公积金</w:t>
            </w:r>
          </w:p>
        </w:tc>
        <w:tc>
          <w:tcPr>
            <w:tcW w:w="2977"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50.00 </w:t>
            </w:r>
          </w:p>
        </w:tc>
        <w:tc>
          <w:tcPr>
            <w:tcW w:w="2693" w:type="dxa"/>
            <w:gridSpan w:val="2"/>
            <w:tcBorders>
              <w:top w:val="nil"/>
              <w:left w:val="nil"/>
              <w:bottom w:val="single" w:sz="4" w:space="0" w:color="000000"/>
              <w:right w:val="single" w:sz="4" w:space="0" w:color="000000"/>
            </w:tcBorders>
            <w:shd w:val="clear" w:color="auto" w:fill="auto"/>
            <w:noWrap/>
          </w:tcPr>
          <w:p>
            <w:pPr>
              <w:pStyle w:val="220"/>
              <w:jc w:val="right"/>
              <w:rPr>
                <w:rFonts w:ascii="宋体" w:cs="宋体"/>
                <w:sz w:val="22"/>
              </w:rPr>
            </w:pPr>
            <w:r>
              <w:rPr>
                <w:rFonts w:ascii="宋体" w:cs="宋体"/>
                <w:sz w:val="22"/>
              </w:rPr>
              <w:t xml:space="preserve">50.00 </w:t>
            </w:r>
          </w:p>
        </w:tc>
        <w:tc>
          <w:tcPr>
            <w:tcW w:w="2552" w:type="dxa"/>
            <w:gridSpan w:val="2"/>
            <w:tcBorders>
              <w:top w:val="nil"/>
              <w:left w:val="nil"/>
              <w:bottom w:val="single" w:sz="4" w:space="0" w:color="000000"/>
              <w:right w:val="single" w:sz="4" w:space="0" w:color="000000"/>
            </w:tcBorders>
            <w:shd w:val="clear" w:color="auto" w:fill="auto"/>
            <w:noWrap/>
          </w:tcPr>
          <w:p>
            <w:pPr>
              <w:jc w:val="right"/>
              <w:rPr>
                <w:sz w:val="22"/>
              </w:rPr>
            </w:pPr>
          </w:p>
        </w:tc>
      </w:tr>
      <w:tr>
        <w:trPr>
          <w:trHeight w:val="308"/>
        </w:trPr>
        <w:tc>
          <w:tcPr>
            <w:tcW w:w="14049" w:type="dxa"/>
            <w:gridSpan w:val="9"/>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注：本表反映部门本年度一般公共预算财政拨款支出情况。</w:t>
            </w:r>
          </w:p>
        </w:tc>
      </w:tr>
    </w:tbl>
    <w:p>
      <w:pPr>
        <w:rPr>
          <w:color w:val="FF0000"/>
        </w:rPr>
      </w:pPr>
      <w:r>
        <w:rPr>
          <w:color w:val="FF0000"/>
        </w:rPr>
        <w:br w:type="page"/>
      </w:r>
    </w:p>
    <w:tbl>
      <w:tblPr>
        <w:jc w:val="left"/>
        <w:tblInd w:w="93" w:type="dxa"/>
        <w:tblW w:w="137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60"/>
        <w:gridCol w:w="3740"/>
        <w:gridCol w:w="1800"/>
        <w:gridCol w:w="1380"/>
        <w:gridCol w:w="3120"/>
        <w:gridCol w:w="2480"/>
      </w:tblGrid>
      <w:tr>
        <w:trPr>
          <w:trHeight w:val="390"/>
        </w:trPr>
        <w:tc>
          <w:tcPr>
            <w:tcW w:w="13780" w:type="dxa"/>
            <w:gridSpan w:val="6"/>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一般公共预算财政拨款基本支出决算明细表</w:t>
            </w:r>
          </w:p>
        </w:tc>
      </w:tr>
      <w:tr>
        <w:trPr>
          <w:trHeight w:val="255"/>
        </w:trPr>
        <w:tc>
          <w:tcPr>
            <w:tcW w:w="126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74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8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12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480" w:type="dxa"/>
            <w:tcBorders>
              <w:top w:val="nil"/>
              <w:left w:val="nil"/>
              <w:bottom w:val="nil"/>
              <w:right w:val="nil"/>
            </w:tcBorders>
            <w:shd w:val="clear" w:color="auto" w:fill="auto"/>
            <w:noWrap/>
            <w:vAlign w:val="bottom"/>
          </w:tcPr>
          <w:p>
            <w:pPr>
              <w:widowControl/>
              <w:jc w:val="right"/>
              <w:rPr>
                <w:rFonts w:ascii="宋体" w:cs="Arial"/>
                <w:kern w:val="0"/>
                <w:sz w:val="18"/>
                <w:szCs w:val="18"/>
              </w:rPr>
            </w:pPr>
            <w:r>
              <w:rPr>
                <w:rFonts w:ascii="宋体" w:cs="Arial" w:hint="eastAsia"/>
                <w:kern w:val="0"/>
                <w:sz w:val="18"/>
                <w:szCs w:val="18"/>
              </w:rPr>
              <w:t xml:space="preserve"> 公开06表 </w:t>
            </w:r>
          </w:p>
        </w:tc>
      </w:tr>
      <w:tr>
        <w:trPr>
          <w:trHeight w:val="255"/>
        </w:trPr>
        <w:tc>
          <w:tcPr>
            <w:tcW w:w="5000" w:type="dxa"/>
            <w:gridSpan w:val="2"/>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18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38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12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480" w:type="dxa"/>
            <w:tcBorders>
              <w:top w:val="nil"/>
              <w:left w:val="nil"/>
              <w:bottom w:val="nil"/>
              <w:right w:val="nil"/>
            </w:tcBorders>
            <w:shd w:val="clear" w:color="auto" w:fill="auto"/>
            <w:noWrap/>
            <w:vAlign w:val="bottom"/>
          </w:tcPr>
          <w:p>
            <w:pPr>
              <w:widowControl/>
              <w:jc w:val="right"/>
              <w:rPr>
                <w:rFonts w:ascii="宋体" w:cs="Arial"/>
                <w:kern w:val="0"/>
                <w:sz w:val="18"/>
                <w:szCs w:val="18"/>
              </w:rPr>
            </w:pPr>
            <w:r>
              <w:rPr>
                <w:rFonts w:ascii="宋体" w:cs="Arial" w:hint="eastAsia"/>
                <w:kern w:val="0"/>
                <w:sz w:val="18"/>
                <w:szCs w:val="18"/>
              </w:rPr>
              <w:t xml:space="preserve"> 金额单位：万元 </w:t>
            </w:r>
          </w:p>
        </w:tc>
      </w:tr>
      <w:tr>
        <w:trPr>
          <w:trHeight w:val="308"/>
        </w:trPr>
        <w:tc>
          <w:tcPr>
            <w:tcW w:w="68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人员经费</w:t>
            </w:r>
          </w:p>
        </w:tc>
        <w:tc>
          <w:tcPr>
            <w:tcW w:w="6980" w:type="dxa"/>
            <w:gridSpan w:val="3"/>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公用经费</w:t>
            </w:r>
          </w:p>
        </w:tc>
      </w:tr>
      <w:tr>
        <w:trPr>
          <w:trHeight w:val="308"/>
        </w:trPr>
        <w:tc>
          <w:tcPr>
            <w:tcW w:w="126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科目代码</w:t>
            </w:r>
          </w:p>
        </w:tc>
        <w:tc>
          <w:tcPr>
            <w:tcW w:w="374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180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决算数</w:t>
            </w:r>
          </w:p>
        </w:tc>
        <w:tc>
          <w:tcPr>
            <w:tcW w:w="138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科目代码</w:t>
            </w:r>
          </w:p>
        </w:tc>
        <w:tc>
          <w:tcPr>
            <w:tcW w:w="312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248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决算数</w:t>
            </w:r>
          </w:p>
        </w:tc>
      </w:tr>
      <w:tr>
        <w:trPr>
          <w:trHeight w:val="308"/>
        </w:trPr>
        <w:tc>
          <w:tcPr>
            <w:tcW w:w="1260" w:type="dxa"/>
            <w:vMerge/>
            <w:tcBorders>
              <w:top w:val="nil"/>
              <w:left w:val="single" w:sz="4" w:space="0" w:color="000000"/>
              <w:bottom w:val="single" w:sz="4" w:space="0" w:color="000000"/>
              <w:right w:val="single" w:sz="4" w:space="0" w:color="000000"/>
            </w:tcBorders>
            <w:vAlign w:val="center"/>
          </w:tcPr>
          <w:p/>
        </w:tc>
        <w:tc>
          <w:tcPr>
            <w:tcW w:w="3740" w:type="dxa"/>
            <w:vMerge/>
            <w:tcBorders>
              <w:top w:val="nil"/>
              <w:left w:val="nil"/>
              <w:bottom w:val="single" w:sz="4" w:space="0" w:color="000000"/>
              <w:right w:val="single" w:sz="4" w:space="0" w:color="000000"/>
            </w:tcBorders>
            <w:vAlign w:val="center"/>
          </w:tcPr>
          <w:p/>
        </w:tc>
        <w:tc>
          <w:tcPr>
            <w:tcW w:w="1800" w:type="dxa"/>
            <w:vMerge/>
            <w:tcBorders>
              <w:top w:val="nil"/>
              <w:left w:val="nil"/>
              <w:bottom w:val="single" w:sz="4" w:space="0" w:color="000000"/>
              <w:right w:val="single" w:sz="4" w:space="0" w:color="000000"/>
            </w:tcBorders>
            <w:vAlign w:val="center"/>
          </w:tcPr>
          <w:p/>
        </w:tc>
        <w:tc>
          <w:tcPr>
            <w:tcW w:w="1380" w:type="dxa"/>
            <w:vMerge/>
            <w:tcBorders>
              <w:top w:val="nil"/>
              <w:left w:val="nil"/>
              <w:bottom w:val="single" w:sz="4" w:space="0" w:color="000000"/>
              <w:right w:val="single" w:sz="4" w:space="0" w:color="000000"/>
            </w:tcBorders>
            <w:vAlign w:val="center"/>
          </w:tcPr>
          <w:p/>
        </w:tc>
        <w:tc>
          <w:tcPr>
            <w:tcW w:w="3120" w:type="dxa"/>
            <w:vMerge/>
            <w:tcBorders>
              <w:top w:val="nil"/>
              <w:left w:val="nil"/>
              <w:bottom w:val="single" w:sz="4" w:space="0" w:color="000000"/>
              <w:right w:val="single" w:sz="4" w:space="0" w:color="000000"/>
            </w:tcBorders>
            <w:vAlign w:val="center"/>
          </w:tcPr>
          <w:p/>
        </w:tc>
        <w:tc>
          <w:tcPr>
            <w:tcW w:w="2480" w:type="dxa"/>
            <w:vMerge/>
            <w:tcBorders>
              <w:top w:val="nil"/>
              <w:left w:val="nil"/>
              <w:bottom w:val="single" w:sz="4" w:space="0" w:color="000000"/>
              <w:right w:val="single" w:sz="4" w:space="0" w:color="000000"/>
            </w:tcBorders>
            <w:vAlign w:val="center"/>
          </w:tcP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301</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工资福利支出</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665.30</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302</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r>
              <w:rPr>
                <w:rFonts w:ascii="宋体" w:cs="Arial" w:hint="eastAsia"/>
                <w:b/>
                <w:bCs/>
                <w:kern w:val="0"/>
                <w:sz w:val="22"/>
                <w:szCs w:val="22"/>
              </w:rPr>
              <w:t>商品和服务支出</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954.00</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30101</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基本工资</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165.00</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30201</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办公费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34.00</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30107</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绩效工资</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291.00</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30205</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水费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6.87</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30108</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机关事业单位基本养老保险缴费</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107.86</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30206</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电费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96.63</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30109</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职业年金缴费</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51.44</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30207</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邮电费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27.30</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30113</w:t>
            </w: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住房公积金</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50.00</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30209</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物业管理费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215.88</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highlight w:val="green"/>
              </w:rPr>
            </w:pP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highlight w:val="green"/>
              </w:rPr>
            </w:pP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highlight w:val="green"/>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30211</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差旅费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34.69</w:t>
            </w:r>
          </w:p>
        </w:tc>
      </w:tr>
      <w:tr>
        <w:trPr>
          <w:trHeight w:val="308"/>
        </w:trPr>
        <w:tc>
          <w:tcPr>
            <w:tcW w:w="1260" w:type="dxa"/>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highlight w:val="green"/>
              </w:rPr>
            </w:pPr>
          </w:p>
        </w:tc>
        <w:tc>
          <w:tcPr>
            <w:tcW w:w="374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highlight w:val="green"/>
              </w:rPr>
            </w:pP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highlight w:val="green"/>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30213</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维修(护)费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99.12</w:t>
            </w:r>
          </w:p>
        </w:tc>
      </w:tr>
      <w:tr>
        <w:trPr>
          <w:trHeight w:val="308"/>
        </w:trPr>
        <w:tc>
          <w:tcPr>
            <w:tcW w:w="1260" w:type="dxa"/>
            <w:tcBorders>
              <w:top w:val="nil"/>
              <w:left w:val="single" w:sz="4" w:space="0" w:color="000000"/>
              <w:bottom w:val="nil"/>
              <w:right w:val="single" w:sz="4" w:space="0" w:color="000000"/>
            </w:tcBorders>
            <w:shd w:val="clear" w:color="auto" w:fill="auto"/>
            <w:noWrap/>
            <w:vAlign w:val="center"/>
          </w:tcPr>
          <w:p>
            <w:pPr>
              <w:widowControl/>
              <w:jc w:val="left"/>
              <w:rPr>
                <w:rFonts w:ascii="宋体" w:cs="Arial"/>
                <w:kern w:val="0"/>
                <w:sz w:val="22"/>
                <w:szCs w:val="22"/>
              </w:rPr>
            </w:pPr>
          </w:p>
        </w:tc>
        <w:tc>
          <w:tcPr>
            <w:tcW w:w="3740" w:type="dxa"/>
            <w:tcBorders>
              <w:top w:val="nil"/>
              <w:left w:val="nil"/>
              <w:bottom w:val="nil"/>
              <w:right w:val="single" w:sz="4" w:space="0" w:color="000000"/>
            </w:tcBorders>
            <w:shd w:val="clear" w:color="auto" w:fill="auto"/>
            <w:noWrap/>
            <w:vAlign w:val="center"/>
          </w:tcPr>
          <w:p>
            <w:pPr>
              <w:widowControl/>
              <w:jc w:val="left"/>
              <w:rPr>
                <w:rFonts w:ascii="宋体" w:cs="Arial"/>
                <w:kern w:val="0"/>
                <w:sz w:val="22"/>
                <w:szCs w:val="22"/>
              </w:rPr>
            </w:pPr>
          </w:p>
        </w:tc>
        <w:tc>
          <w:tcPr>
            <w:tcW w:w="1800" w:type="dxa"/>
            <w:tcBorders>
              <w:top w:val="nil"/>
              <w:left w:val="nil"/>
              <w:bottom w:val="nil"/>
              <w:right w:val="single" w:sz="4" w:space="0" w:color="000000"/>
            </w:tcBorders>
            <w:shd w:val="clear" w:color="auto" w:fill="auto"/>
            <w:noWrap/>
            <w:vAlign w:val="center"/>
          </w:tcPr>
          <w:p>
            <w:pPr>
              <w:widowControl/>
              <w:jc w:val="right"/>
              <w:rPr>
                <w:kern w:val="0"/>
                <w:sz w:val="22"/>
                <w:szCs w:val="22"/>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30216</w:t>
            </w:r>
          </w:p>
        </w:tc>
        <w:tc>
          <w:tcPr>
            <w:tcW w:w="3120" w:type="dxa"/>
            <w:tcBorders>
              <w:top w:val="nil"/>
              <w:left w:val="nil"/>
              <w:bottom w:val="single" w:sz="4" w:space="0" w:color="000000"/>
              <w:right w:val="single" w:sz="4" w:space="0" w:color="000000"/>
            </w:tcBorders>
            <w:shd w:val="clear" w:color="auto" w:fill="auto"/>
            <w:noWrap/>
            <w:vAlign w:val="center"/>
          </w:tcPr>
          <w:p>
            <w:pPr>
              <w:widowControl/>
              <w:ind w:firstLineChars="100" w:firstLine="220"/>
              <w:jc w:val="left"/>
              <w:rPr>
                <w:rFonts w:ascii="宋体" w:cs="Arial"/>
                <w:kern w:val="0"/>
                <w:sz w:val="22"/>
                <w:szCs w:val="22"/>
              </w:rPr>
            </w:pPr>
            <w:r>
              <w:rPr>
                <w:rFonts w:ascii="宋体" w:cs="Arial" w:hint="eastAsia"/>
                <w:kern w:val="0"/>
                <w:sz w:val="22"/>
                <w:szCs w:val="22"/>
              </w:rPr>
              <w:t>培训费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0.46</w:t>
            </w:r>
          </w:p>
        </w:tc>
      </w:tr>
      <w:tr>
        <w:trPr>
          <w:trHeight w:val="30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3740"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pPr>
              <w:widowControl/>
              <w:jc w:val="left"/>
              <w:rPr>
                <w:kern w:val="0"/>
                <w:sz w:val="20"/>
                <w:szCs w:val="20"/>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30218</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专用材料费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20.47</w:t>
            </w:r>
          </w:p>
        </w:tc>
      </w:tr>
      <w:tr>
        <w:trPr>
          <w:trHeight w:val="30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3740"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pPr>
              <w:widowControl/>
              <w:jc w:val="left"/>
              <w:rPr>
                <w:kern w:val="0"/>
                <w:sz w:val="20"/>
                <w:szCs w:val="20"/>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30226</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劳务费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339.17</w:t>
            </w:r>
          </w:p>
        </w:tc>
      </w:tr>
      <w:tr>
        <w:trPr>
          <w:trHeight w:val="30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3740"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1800" w:type="dxa"/>
            <w:tcBorders>
              <w:top w:val="single" w:sz="4" w:space="0" w:color="auto"/>
              <w:left w:val="nil"/>
              <w:bottom w:val="single" w:sz="4" w:space="0" w:color="auto"/>
              <w:right w:val="single" w:sz="4" w:space="0" w:color="auto"/>
            </w:tcBorders>
            <w:shd w:val="clear" w:color="auto" w:fill="auto"/>
            <w:noWrap/>
            <w:vAlign w:val="bottom"/>
          </w:tcPr>
          <w:p>
            <w:pPr>
              <w:widowControl/>
              <w:jc w:val="left"/>
              <w:rPr>
                <w:kern w:val="0"/>
                <w:sz w:val="20"/>
                <w:szCs w:val="20"/>
              </w:rPr>
            </w:pP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30227</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委托业务费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41.86</w:t>
            </w:r>
          </w:p>
        </w:tc>
      </w:tr>
      <w:tr>
        <w:trPr>
          <w:trHeight w:val="308"/>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p>
        </w:tc>
        <w:tc>
          <w:tcPr>
            <w:tcW w:w="3740" w:type="dxa"/>
            <w:tcBorders>
              <w:top w:val="single" w:sz="4" w:space="0" w:color="auto"/>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w:t>
            </w:r>
          </w:p>
        </w:tc>
        <w:tc>
          <w:tcPr>
            <w:tcW w:w="1800" w:type="dxa"/>
            <w:tcBorders>
              <w:top w:val="single" w:sz="4" w:space="0" w:color="auto"/>
              <w:left w:val="nil"/>
              <w:bottom w:val="single" w:sz="4" w:space="0" w:color="auto"/>
              <w:right w:val="single" w:sz="4" w:space="0" w:color="auto"/>
            </w:tcBorders>
            <w:shd w:val="clear" w:color="auto" w:fill="auto"/>
            <w:noWrap/>
            <w:vAlign w:val="bottom"/>
          </w:tcPr>
          <w:p>
            <w:pPr>
              <w:widowControl/>
              <w:jc w:val="left"/>
              <w:rPr>
                <w:kern w:val="0"/>
                <w:sz w:val="20"/>
                <w:szCs w:val="20"/>
              </w:rPr>
            </w:pPr>
            <w:r>
              <w:rPr>
                <w:kern w:val="0"/>
                <w:sz w:val="20"/>
                <w:szCs w:val="20"/>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30228</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工会经费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5.97</w:t>
            </w:r>
          </w:p>
        </w:tc>
      </w:tr>
      <w:tr>
        <w:trPr>
          <w:trHeight w:val="308"/>
        </w:trPr>
        <w:tc>
          <w:tcPr>
            <w:tcW w:w="1260" w:type="dxa"/>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Arial" w:cs="Arial" w:hAnsi="Arial"/>
                <w:kern w:val="0"/>
                <w:sz w:val="20"/>
                <w:szCs w:val="20"/>
              </w:rPr>
            </w:pPr>
            <w:r>
              <w:rPr>
                <w:rFonts w:ascii="Arial" w:cs="Arial" w:hAnsi="Arial"/>
                <w:kern w:val="0"/>
                <w:sz w:val="20"/>
                <w:szCs w:val="20"/>
              </w:rPr>
              <w:t>　</w:t>
            </w:r>
          </w:p>
        </w:tc>
        <w:tc>
          <w:tcPr>
            <w:tcW w:w="3740" w:type="dxa"/>
            <w:tcBorders>
              <w:top w:val="nil"/>
              <w:left w:val="nil"/>
              <w:bottom w:val="single" w:sz="4" w:space="0" w:color="auto"/>
              <w:right w:val="single" w:sz="4" w:space="0" w:color="auto"/>
            </w:tcBorders>
            <w:shd w:val="clear" w:color="auto" w:fill="auto"/>
            <w:noWrap/>
            <w:vAlign w:val="bottom"/>
          </w:tcPr>
          <w:p>
            <w:pPr>
              <w:widowControl/>
              <w:jc w:val="left"/>
              <w:rPr>
                <w:rFonts w:ascii="Arial" w:cs="Arial" w:hAnsi="Arial"/>
                <w:kern w:val="0"/>
                <w:sz w:val="20"/>
                <w:szCs w:val="20"/>
              </w:rPr>
            </w:pPr>
            <w:r>
              <w:rPr>
                <w:rFonts w:ascii="Arial" w:cs="Arial" w:hAnsi="Arial"/>
                <w:kern w:val="0"/>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pPr>
              <w:widowControl/>
              <w:jc w:val="left"/>
              <w:rPr>
                <w:kern w:val="0"/>
                <w:sz w:val="20"/>
                <w:szCs w:val="20"/>
              </w:rPr>
            </w:pPr>
            <w:r>
              <w:rPr>
                <w:kern w:val="0"/>
                <w:sz w:val="20"/>
                <w:szCs w:val="20"/>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30229</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福利费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22.73</w:t>
            </w:r>
          </w:p>
        </w:tc>
      </w:tr>
      <w:tr>
        <w:trPr>
          <w:trHeight w:val="308"/>
        </w:trPr>
        <w:tc>
          <w:tcPr>
            <w:tcW w:w="1260"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3740" w:type="dxa"/>
            <w:tcBorders>
              <w:top w:val="nil"/>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800" w:type="dxa"/>
            <w:tcBorders>
              <w:top w:val="nil"/>
              <w:left w:val="nil"/>
              <w:bottom w:val="single" w:sz="4" w:space="0" w:color="auto"/>
              <w:right w:val="single" w:sz="4" w:space="0" w:color="auto"/>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30231</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公务用车运行维护费</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5.01</w:t>
            </w:r>
          </w:p>
        </w:tc>
      </w:tr>
      <w:tr>
        <w:trPr>
          <w:trHeight w:val="308"/>
        </w:trPr>
        <w:tc>
          <w:tcPr>
            <w:tcW w:w="1260" w:type="dxa"/>
            <w:tcBorders>
              <w:top w:val="nil"/>
              <w:left w:val="single" w:sz="4" w:space="0" w:color="auto"/>
              <w:bottom w:val="single" w:sz="4" w:space="0" w:color="auto"/>
              <w:right w:val="single" w:sz="4" w:space="0" w:color="auto"/>
            </w:tcBorders>
            <w:shd w:val="clear" w:color="auto" w:fill="auto"/>
            <w:noWrap/>
            <w:vAlign w:val="bottom"/>
          </w:tcPr>
          <w:p>
            <w:pPr>
              <w:widowControl/>
              <w:jc w:val="left"/>
              <w:rPr>
                <w:rFonts w:ascii="Arial" w:cs="Arial" w:hAnsi="Arial"/>
                <w:kern w:val="0"/>
                <w:sz w:val="20"/>
                <w:szCs w:val="20"/>
              </w:rPr>
            </w:pPr>
            <w:r>
              <w:rPr>
                <w:rFonts w:ascii="Arial" w:cs="Arial" w:hAnsi="Arial"/>
                <w:kern w:val="0"/>
                <w:sz w:val="20"/>
                <w:szCs w:val="20"/>
              </w:rPr>
              <w:t>　</w:t>
            </w:r>
          </w:p>
        </w:tc>
        <w:tc>
          <w:tcPr>
            <w:tcW w:w="3740" w:type="dxa"/>
            <w:tcBorders>
              <w:top w:val="nil"/>
              <w:left w:val="nil"/>
              <w:bottom w:val="single" w:sz="4" w:space="0" w:color="auto"/>
              <w:right w:val="single" w:sz="4" w:space="0" w:color="auto"/>
            </w:tcBorders>
            <w:shd w:val="clear" w:color="auto" w:fill="auto"/>
            <w:noWrap/>
            <w:vAlign w:val="bottom"/>
          </w:tcPr>
          <w:p>
            <w:pPr>
              <w:widowControl/>
              <w:jc w:val="left"/>
              <w:rPr>
                <w:rFonts w:ascii="Arial" w:cs="Arial" w:hAnsi="Arial"/>
                <w:kern w:val="0"/>
                <w:sz w:val="20"/>
                <w:szCs w:val="20"/>
              </w:rPr>
            </w:pPr>
            <w:r>
              <w:rPr>
                <w:rFonts w:ascii="Arial" w:cs="Arial" w:hAnsi="Arial"/>
                <w:kern w:val="0"/>
                <w:sz w:val="20"/>
                <w:szCs w:val="20"/>
              </w:rPr>
              <w:t>　</w:t>
            </w:r>
          </w:p>
        </w:tc>
        <w:tc>
          <w:tcPr>
            <w:tcW w:w="1800" w:type="dxa"/>
            <w:tcBorders>
              <w:top w:val="nil"/>
              <w:left w:val="nil"/>
              <w:bottom w:val="single" w:sz="4" w:space="0" w:color="auto"/>
              <w:right w:val="single" w:sz="4" w:space="0" w:color="auto"/>
            </w:tcBorders>
            <w:shd w:val="clear" w:color="auto" w:fill="auto"/>
            <w:noWrap/>
            <w:vAlign w:val="bottom"/>
          </w:tcPr>
          <w:p>
            <w:pPr>
              <w:widowControl/>
              <w:jc w:val="left"/>
              <w:rPr>
                <w:rFonts w:ascii="Arial" w:cs="Arial" w:hAnsi="Arial"/>
                <w:kern w:val="0"/>
                <w:sz w:val="20"/>
                <w:szCs w:val="20"/>
              </w:rPr>
            </w:pPr>
            <w:r>
              <w:rPr>
                <w:rFonts w:ascii="Arial" w:cs="Arial" w:hAnsi="Arial"/>
                <w:kern w:val="0"/>
                <w:sz w:val="20"/>
                <w:szCs w:val="20"/>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30299</w:t>
            </w: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其他商品和服务支出</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r>
              <w:rPr>
                <w:kern w:val="0"/>
                <w:sz w:val="22"/>
                <w:szCs w:val="22"/>
              </w:rPr>
              <w:t>3.84</w:t>
            </w:r>
          </w:p>
        </w:tc>
      </w:tr>
      <w:tr>
        <w:trPr>
          <w:trHeight w:val="308"/>
        </w:trPr>
        <w:tc>
          <w:tcPr>
            <w:tcW w:w="1260"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3740" w:type="dxa"/>
            <w:tcBorders>
              <w:top w:val="nil"/>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800" w:type="dxa"/>
            <w:tcBorders>
              <w:top w:val="nil"/>
              <w:left w:val="nil"/>
              <w:bottom w:val="single" w:sz="4" w:space="0" w:color="auto"/>
              <w:right w:val="single" w:sz="4" w:space="0" w:color="auto"/>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b/>
                <w:bCs/>
                <w:kern w:val="0"/>
                <w:sz w:val="22"/>
                <w:szCs w:val="22"/>
              </w:rPr>
            </w:pP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p>
        </w:tc>
      </w:tr>
      <w:tr>
        <w:trPr>
          <w:trHeight w:val="308"/>
        </w:trPr>
        <w:tc>
          <w:tcPr>
            <w:tcW w:w="1260"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3740" w:type="dxa"/>
            <w:tcBorders>
              <w:top w:val="nil"/>
              <w:left w:val="nil"/>
              <w:bottom w:val="single" w:sz="4" w:space="0" w:color="auto"/>
              <w:right w:val="single" w:sz="4" w:space="0" w:color="auto"/>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800" w:type="dxa"/>
            <w:tcBorders>
              <w:top w:val="nil"/>
              <w:left w:val="nil"/>
              <w:bottom w:val="single" w:sz="4" w:space="0" w:color="auto"/>
              <w:right w:val="single" w:sz="4" w:space="0" w:color="auto"/>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38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p>
        </w:tc>
        <w:tc>
          <w:tcPr>
            <w:tcW w:w="3120"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xml:space="preserve">  </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kern w:val="0"/>
                <w:sz w:val="22"/>
                <w:szCs w:val="22"/>
              </w:rPr>
            </w:pPr>
          </w:p>
        </w:tc>
      </w:tr>
      <w:tr>
        <w:trPr>
          <w:trHeight w:val="308"/>
        </w:trPr>
        <w:tc>
          <w:tcPr>
            <w:tcW w:w="5000" w:type="dxa"/>
            <w:gridSpan w:val="2"/>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人员经费合计</w:t>
            </w:r>
          </w:p>
        </w:tc>
        <w:tc>
          <w:tcPr>
            <w:tcW w:w="180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665.30</w:t>
            </w:r>
          </w:p>
        </w:tc>
        <w:tc>
          <w:tcPr>
            <w:tcW w:w="4500" w:type="dxa"/>
            <w:gridSpan w:val="2"/>
            <w:tcBorders>
              <w:top w:val="single" w:sz="4" w:space="0" w:color="000000"/>
              <w:left w:val="nil"/>
              <w:bottom w:val="single" w:sz="4" w:space="0" w:color="000000"/>
              <w:right w:val="single" w:sz="4" w:space="0" w:color="000000"/>
            </w:tcBorders>
            <w:shd w:val="clear" w:color="auto" w:fill="auto"/>
            <w:noWrap/>
            <w:vAlign w:val="center"/>
          </w:tcPr>
          <w:p>
            <w:pPr>
              <w:widowControl/>
              <w:jc w:val="center"/>
              <w:rPr>
                <w:rFonts w:ascii="宋体" w:cs="Arial"/>
                <w:b/>
                <w:bCs/>
                <w:kern w:val="0"/>
                <w:sz w:val="22"/>
                <w:szCs w:val="22"/>
              </w:rPr>
            </w:pPr>
            <w:r>
              <w:rPr>
                <w:rFonts w:ascii="宋体" w:cs="Arial" w:hint="eastAsia"/>
                <w:b/>
                <w:bCs/>
                <w:kern w:val="0"/>
                <w:sz w:val="22"/>
                <w:szCs w:val="22"/>
              </w:rPr>
              <w:t>公用经费合计</w:t>
            </w:r>
          </w:p>
        </w:tc>
        <w:tc>
          <w:tcPr>
            <w:tcW w:w="2480" w:type="dxa"/>
            <w:tcBorders>
              <w:top w:val="nil"/>
              <w:left w:val="nil"/>
              <w:bottom w:val="single" w:sz="4" w:space="0" w:color="000000"/>
              <w:right w:val="single" w:sz="4" w:space="0" w:color="000000"/>
            </w:tcBorders>
            <w:shd w:val="clear" w:color="auto" w:fill="auto"/>
            <w:noWrap/>
            <w:vAlign w:val="center"/>
          </w:tcPr>
          <w:p>
            <w:pPr>
              <w:widowControl/>
              <w:jc w:val="right"/>
              <w:rPr>
                <w:b/>
                <w:bCs/>
                <w:kern w:val="0"/>
                <w:sz w:val="22"/>
                <w:szCs w:val="22"/>
              </w:rPr>
            </w:pPr>
            <w:r>
              <w:rPr>
                <w:b/>
                <w:bCs/>
                <w:kern w:val="0"/>
                <w:sz w:val="22"/>
                <w:szCs w:val="22"/>
              </w:rPr>
              <w:t xml:space="preserve">954.00 </w:t>
            </w:r>
          </w:p>
        </w:tc>
      </w:tr>
      <w:tr>
        <w:trPr>
          <w:trHeight w:val="308"/>
        </w:trPr>
        <w:tc>
          <w:tcPr>
            <w:tcW w:w="5000" w:type="dxa"/>
            <w:gridSpan w:val="2"/>
            <w:tcBorders>
              <w:top w:val="nil"/>
              <w:left w:val="nil"/>
              <w:bottom w:val="nil"/>
              <w:right w:val="nil"/>
            </w:tcBorders>
            <w:shd w:val="clear" w:color="auto" w:fill="auto"/>
          </w:tcPr>
          <w:p>
            <w:pPr>
              <w:widowControl/>
              <w:jc w:val="center"/>
              <w:rPr>
                <w:rFonts w:ascii="宋体" w:cs="Arial"/>
                <w:b/>
                <w:bCs/>
                <w:kern w:val="0"/>
                <w:sz w:val="22"/>
                <w:szCs w:val="22"/>
              </w:rPr>
            </w:pPr>
          </w:p>
        </w:tc>
        <w:tc>
          <w:tcPr>
            <w:tcW w:w="1800" w:type="dxa"/>
            <w:tcBorders>
              <w:top w:val="nil"/>
              <w:left w:val="nil"/>
              <w:bottom w:val="nil"/>
              <w:right w:val="nil"/>
            </w:tcBorders>
            <w:shd w:val="clear" w:color="auto" w:fill="auto"/>
          </w:tcPr>
          <w:p>
            <w:pPr>
              <w:widowControl/>
              <w:jc w:val="right"/>
              <w:rPr>
                <w:b/>
                <w:bCs/>
                <w:kern w:val="0"/>
                <w:sz w:val="22"/>
                <w:szCs w:val="22"/>
              </w:rPr>
            </w:pPr>
          </w:p>
        </w:tc>
        <w:tc>
          <w:tcPr>
            <w:tcW w:w="4500" w:type="dxa"/>
            <w:gridSpan w:val="2"/>
            <w:tcBorders>
              <w:top w:val="nil"/>
              <w:left w:val="nil"/>
              <w:bottom w:val="nil"/>
              <w:right w:val="nil"/>
            </w:tcBorders>
            <w:shd w:val="clear" w:color="auto" w:fill="auto"/>
          </w:tcPr>
          <w:p>
            <w:pPr>
              <w:widowControl/>
              <w:jc w:val="center"/>
              <w:rPr>
                <w:rFonts w:ascii="宋体" w:cs="Arial"/>
                <w:b/>
                <w:bCs/>
                <w:kern w:val="0"/>
                <w:sz w:val="22"/>
                <w:szCs w:val="22"/>
              </w:rPr>
            </w:pPr>
          </w:p>
        </w:tc>
        <w:tc>
          <w:tcPr>
            <w:tcW w:w="2480" w:type="dxa"/>
            <w:tcBorders>
              <w:top w:val="nil"/>
              <w:left w:val="nil"/>
              <w:bottom w:val="nil"/>
              <w:right w:val="nil"/>
            </w:tcBorders>
            <w:shd w:val="clear" w:color="auto" w:fill="auto"/>
          </w:tcPr>
          <w:p>
            <w:pPr>
              <w:widowControl/>
              <w:jc w:val="right"/>
              <w:rPr>
                <w:b/>
                <w:bCs/>
                <w:kern w:val="0"/>
                <w:sz w:val="22"/>
                <w:szCs w:val="22"/>
              </w:rPr>
            </w:pPr>
          </w:p>
        </w:tc>
      </w:tr>
      <w:tr>
        <w:trPr>
          <w:trHeight w:val="308"/>
        </w:trPr>
        <w:tc>
          <w:tcPr>
            <w:tcW w:w="13780" w:type="dxa"/>
            <w:gridSpan w:val="6"/>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注：本表反映部门本年度一般公共预算财政拨款基本支出明细情况。</w:t>
            </w:r>
          </w:p>
        </w:tc>
      </w:tr>
    </w:tbl>
    <w:p>
      <w:pPr>
        <w:rPr>
          <w:color w:val="FF0000"/>
        </w:rPr>
      </w:pPr>
    </w:p>
    <w:p>
      <w:pPr>
        <w:rPr>
          <w:color w:val="FF0000"/>
        </w:rPr>
      </w:pPr>
    </w:p>
    <w:p>
      <w:r>
        <w:rPr>
          <w:color w:val="FF0000"/>
        </w:rPr>
        <w:br w:type="page"/>
      </w:r>
    </w:p>
    <w:tbl>
      <w:tblPr>
        <w:jc w:val="left"/>
        <w:tblInd w:w="93" w:type="dxa"/>
        <w:tblW w:w="1396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36"/>
        <w:gridCol w:w="236"/>
        <w:gridCol w:w="237"/>
        <w:gridCol w:w="299"/>
        <w:gridCol w:w="1356"/>
        <w:gridCol w:w="1755"/>
        <w:gridCol w:w="1755"/>
        <w:gridCol w:w="1755"/>
        <w:gridCol w:w="1755"/>
        <w:gridCol w:w="1756"/>
        <w:gridCol w:w="2828"/>
      </w:tblGrid>
      <w:tr>
        <w:trPr>
          <w:trHeight w:val="425"/>
        </w:trPr>
        <w:tc>
          <w:tcPr>
            <w:tcW w:w="13968" w:type="dxa"/>
            <w:gridSpan w:val="11"/>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政府性基金预算财政拨款收入支出决算表</w:t>
            </w:r>
          </w:p>
        </w:tc>
      </w:tr>
      <w:tr>
        <w:trPr>
          <w:trHeight w:val="278"/>
        </w:trPr>
        <w:tc>
          <w:tcPr>
            <w:tcW w:w="23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3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37"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655" w:type="dxa"/>
            <w:gridSpan w:val="2"/>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828"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公开07表</w:t>
            </w:r>
          </w:p>
        </w:tc>
      </w:tr>
      <w:tr>
        <w:trPr>
          <w:trHeight w:val="278"/>
        </w:trPr>
        <w:tc>
          <w:tcPr>
            <w:tcW w:w="2364" w:type="dxa"/>
            <w:gridSpan w:val="5"/>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75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828"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36"/>
        </w:trPr>
        <w:tc>
          <w:tcPr>
            <w:tcW w:w="236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1755"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年初结转和结余</w:t>
            </w:r>
          </w:p>
        </w:tc>
        <w:tc>
          <w:tcPr>
            <w:tcW w:w="1755"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本年收入</w:t>
            </w:r>
          </w:p>
        </w:tc>
        <w:tc>
          <w:tcPr>
            <w:tcW w:w="5266"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本年支出</w:t>
            </w:r>
          </w:p>
        </w:tc>
        <w:tc>
          <w:tcPr>
            <w:tcW w:w="2828" w:type="dxa"/>
            <w:vMerge w:val="restar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年末结转和结余</w:t>
            </w:r>
          </w:p>
        </w:tc>
      </w:tr>
      <w:tr>
        <w:trPr>
          <w:trHeight w:val="336"/>
        </w:trPr>
        <w:tc>
          <w:tcPr>
            <w:tcW w:w="1008" w:type="dxa"/>
            <w:gridSpan w:val="4"/>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科目代码</w:t>
            </w:r>
          </w:p>
        </w:tc>
        <w:tc>
          <w:tcPr>
            <w:tcW w:w="1356"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小计</w:t>
            </w:r>
          </w:p>
        </w:tc>
        <w:tc>
          <w:tcPr>
            <w:tcW w:w="1755"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基本支出</w:t>
            </w:r>
          </w:p>
        </w:tc>
        <w:tc>
          <w:tcPr>
            <w:tcW w:w="1756"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项目支出</w:t>
            </w:r>
          </w:p>
        </w:tc>
        <w:tc>
          <w:tcPr>
            <w:tcW w:w="2828" w:type="dxa"/>
            <w:vMerge/>
            <w:tcBorders>
              <w:top w:val="single" w:sz="4" w:space="0" w:color="000000"/>
              <w:left w:val="nil"/>
              <w:bottom w:val="single" w:sz="4" w:space="0" w:color="000000"/>
              <w:right w:val="single" w:sz="4" w:space="0" w:color="000000"/>
            </w:tcBorders>
            <w:vAlign w:val="center"/>
          </w:tcPr>
          <w:p/>
        </w:tc>
      </w:tr>
      <w:tr>
        <w:trPr>
          <w:trHeight w:val="336"/>
        </w:trPr>
        <w:tc>
          <w:tcPr>
            <w:tcW w:w="1008" w:type="dxa"/>
            <w:gridSpan w:val="4"/>
            <w:vMerge/>
            <w:tcBorders>
              <w:top w:val="nil"/>
              <w:left w:val="single" w:sz="4" w:space="0" w:color="000000"/>
              <w:bottom w:val="single" w:sz="4" w:space="0" w:color="000000"/>
              <w:right w:val="single" w:sz="4" w:space="0" w:color="000000"/>
            </w:tcBorders>
            <w:vAlign w:val="center"/>
          </w:tcPr>
          <w:p/>
        </w:tc>
        <w:tc>
          <w:tcPr>
            <w:tcW w:w="1356" w:type="dxa"/>
            <w:vMerge/>
            <w:tcBorders>
              <w:top w:val="nil"/>
              <w:left w:val="nil"/>
              <w:bottom w:val="single" w:sz="4" w:space="0" w:color="000000"/>
              <w:right w:val="single" w:sz="4" w:space="0" w:color="000000"/>
            </w:tcBorders>
            <w:vAlign w:val="center"/>
          </w:tcP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tcBorders>
              <w:top w:val="nil"/>
              <w:left w:val="nil"/>
              <w:bottom w:val="single" w:sz="4" w:space="0" w:color="000000"/>
              <w:right w:val="single" w:sz="4" w:space="0" w:color="000000"/>
            </w:tcBorders>
            <w:vAlign w:val="center"/>
          </w:tcPr>
          <w:p/>
        </w:tc>
        <w:tc>
          <w:tcPr>
            <w:tcW w:w="1755" w:type="dxa"/>
            <w:vMerge/>
            <w:tcBorders>
              <w:top w:val="nil"/>
              <w:left w:val="nil"/>
              <w:bottom w:val="single" w:sz="4" w:space="0" w:color="000000"/>
              <w:right w:val="single" w:sz="4" w:space="0" w:color="000000"/>
            </w:tcBorders>
            <w:vAlign w:val="center"/>
          </w:tcPr>
          <w:p/>
        </w:tc>
        <w:tc>
          <w:tcPr>
            <w:tcW w:w="1756" w:type="dxa"/>
            <w:vMerge/>
            <w:tcBorders>
              <w:top w:val="nil"/>
              <w:left w:val="nil"/>
              <w:bottom w:val="single" w:sz="4" w:space="0" w:color="000000"/>
              <w:right w:val="single" w:sz="4" w:space="0" w:color="000000"/>
            </w:tcBorders>
            <w:vAlign w:val="center"/>
          </w:tcPr>
          <w:p/>
        </w:tc>
        <w:tc>
          <w:tcPr>
            <w:tcW w:w="2828" w:type="dxa"/>
            <w:vMerge/>
            <w:tcBorders>
              <w:top w:val="single" w:sz="4" w:space="0" w:color="000000"/>
              <w:left w:val="nil"/>
              <w:bottom w:val="single" w:sz="4" w:space="0" w:color="000000"/>
              <w:right w:val="single" w:sz="4" w:space="0" w:color="000000"/>
            </w:tcBorders>
            <w:vAlign w:val="center"/>
          </w:tcPr>
          <w:p/>
        </w:tc>
      </w:tr>
      <w:tr>
        <w:trPr>
          <w:trHeight w:val="336"/>
        </w:trPr>
        <w:tc>
          <w:tcPr>
            <w:tcW w:w="1008" w:type="dxa"/>
            <w:gridSpan w:val="4"/>
            <w:vMerge/>
            <w:tcBorders>
              <w:top w:val="nil"/>
              <w:left w:val="single" w:sz="4" w:space="0" w:color="000000"/>
              <w:bottom w:val="single" w:sz="4" w:space="0" w:color="000000"/>
              <w:right w:val="single" w:sz="4" w:space="0" w:color="000000"/>
            </w:tcBorders>
            <w:vAlign w:val="center"/>
          </w:tcPr>
          <w:p/>
        </w:tc>
        <w:tc>
          <w:tcPr>
            <w:tcW w:w="1356" w:type="dxa"/>
            <w:vMerge/>
            <w:tcBorders>
              <w:top w:val="nil"/>
              <w:left w:val="nil"/>
              <w:bottom w:val="single" w:sz="4" w:space="0" w:color="000000"/>
              <w:right w:val="single" w:sz="4" w:space="0" w:color="000000"/>
            </w:tcBorders>
            <w:vAlign w:val="center"/>
          </w:tcP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tcBorders>
              <w:top w:val="single" w:sz="4" w:space="0" w:color="000000"/>
              <w:left w:val="nil"/>
              <w:bottom w:val="single" w:sz="4" w:space="0" w:color="000000"/>
              <w:right w:val="single" w:sz="4" w:space="0" w:color="000000"/>
            </w:tcBorders>
            <w:vAlign w:val="center"/>
          </w:tcPr>
          <w:p/>
        </w:tc>
        <w:tc>
          <w:tcPr>
            <w:tcW w:w="1755" w:type="dxa"/>
            <w:vMerge/>
            <w:tcBorders>
              <w:top w:val="nil"/>
              <w:left w:val="nil"/>
              <w:bottom w:val="single" w:sz="4" w:space="0" w:color="000000"/>
              <w:right w:val="single" w:sz="4" w:space="0" w:color="000000"/>
            </w:tcBorders>
            <w:vAlign w:val="center"/>
          </w:tcPr>
          <w:p/>
        </w:tc>
        <w:tc>
          <w:tcPr>
            <w:tcW w:w="1755" w:type="dxa"/>
            <w:vMerge/>
            <w:tcBorders>
              <w:top w:val="nil"/>
              <w:left w:val="nil"/>
              <w:bottom w:val="single" w:sz="4" w:space="0" w:color="000000"/>
              <w:right w:val="single" w:sz="4" w:space="0" w:color="000000"/>
            </w:tcBorders>
            <w:vAlign w:val="center"/>
          </w:tcPr>
          <w:p/>
        </w:tc>
        <w:tc>
          <w:tcPr>
            <w:tcW w:w="1756" w:type="dxa"/>
            <w:vMerge/>
            <w:tcBorders>
              <w:top w:val="nil"/>
              <w:left w:val="nil"/>
              <w:bottom w:val="single" w:sz="4" w:space="0" w:color="000000"/>
              <w:right w:val="single" w:sz="4" w:space="0" w:color="000000"/>
            </w:tcBorders>
            <w:vAlign w:val="center"/>
          </w:tcPr>
          <w:p/>
        </w:tc>
        <w:tc>
          <w:tcPr>
            <w:tcW w:w="2828" w:type="dxa"/>
            <w:vMerge/>
            <w:tcBorders>
              <w:top w:val="single" w:sz="4" w:space="0" w:color="000000"/>
              <w:left w:val="nil"/>
              <w:bottom w:val="single" w:sz="4" w:space="0" w:color="000000"/>
              <w:right w:val="single" w:sz="4" w:space="0" w:color="000000"/>
            </w:tcBorders>
            <w:vAlign w:val="center"/>
          </w:tcPr>
          <w:p/>
        </w:tc>
      </w:tr>
      <w:tr>
        <w:trPr>
          <w:trHeight w:val="336"/>
        </w:trPr>
        <w:tc>
          <w:tcPr>
            <w:tcW w:w="2364" w:type="dxa"/>
            <w:gridSpan w:val="5"/>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3</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4</w:t>
            </w:r>
          </w:p>
        </w:tc>
        <w:tc>
          <w:tcPr>
            <w:tcW w:w="1756"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5</w:t>
            </w:r>
          </w:p>
        </w:tc>
        <w:tc>
          <w:tcPr>
            <w:tcW w:w="2828"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6</w:t>
            </w:r>
          </w:p>
        </w:tc>
      </w:tr>
      <w:tr>
        <w:trPr>
          <w:trHeight w:val="336"/>
        </w:trPr>
        <w:tc>
          <w:tcPr>
            <w:tcW w:w="2364" w:type="dxa"/>
            <w:gridSpan w:val="5"/>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合计</w:t>
            </w: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149.96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6"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2828"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93.72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229</w:t>
            </w:r>
          </w:p>
        </w:tc>
        <w:tc>
          <w:tcPr>
            <w:tcW w:w="1356" w:type="dxa"/>
            <w:tcBorders>
              <w:top w:val="nil"/>
              <w:left w:val="nil"/>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其他支出</w:t>
            </w: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149.96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6"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2828"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93.72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22998</w:t>
            </w:r>
          </w:p>
        </w:tc>
        <w:tc>
          <w:tcPr>
            <w:tcW w:w="1356" w:type="dxa"/>
            <w:tcBorders>
              <w:top w:val="nil"/>
              <w:left w:val="nil"/>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超长期特别国债安排的其他支出</w:t>
            </w: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149.96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6"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2828"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93.72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2299899</w:t>
            </w:r>
          </w:p>
        </w:tc>
        <w:tc>
          <w:tcPr>
            <w:tcW w:w="1356" w:type="dxa"/>
            <w:tcBorders>
              <w:top w:val="nil"/>
              <w:left w:val="nil"/>
              <w:bottom w:val="single" w:sz="4" w:space="0" w:color="000000"/>
              <w:right w:val="single" w:sz="4" w:space="0" w:color="000000"/>
            </w:tcBorders>
            <w:shd w:val="clear" w:color="auto" w:fill="auto"/>
            <w:noWrap/>
            <w:vAlign w:val="center"/>
          </w:tcPr>
          <w:p>
            <w:pPr>
              <w:rPr>
                <w:rFonts w:ascii="宋体" w:cs="宋体"/>
                <w:sz w:val="22"/>
              </w:rPr>
            </w:pPr>
            <w:r>
              <w:rPr>
                <w:rFonts w:ascii="宋体" w:cs="宋体"/>
                <w:sz w:val="22"/>
              </w:rPr>
              <w:t>其他支出</w:t>
            </w: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149.96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5"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1755" w:type="dxa"/>
            <w:tcBorders>
              <w:top w:val="nil"/>
              <w:left w:val="nil"/>
              <w:bottom w:val="single" w:sz="4" w:space="0" w:color="000000"/>
              <w:right w:val="single" w:sz="4" w:space="0" w:color="000000"/>
            </w:tcBorders>
            <w:shd w:val="clear" w:color="auto" w:fill="auto"/>
            <w:noWrap/>
            <w:vAlign w:val="center"/>
          </w:tcPr>
          <w:p>
            <w:pPr>
              <w:jc w:val="right"/>
              <w:rPr>
                <w:sz w:val="24"/>
              </w:rPr>
            </w:pPr>
          </w:p>
        </w:tc>
        <w:tc>
          <w:tcPr>
            <w:tcW w:w="1756"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56.24 </w:t>
            </w:r>
          </w:p>
        </w:tc>
        <w:tc>
          <w:tcPr>
            <w:tcW w:w="2828"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93.72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356"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82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356"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82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6"/>
        </w:trPr>
        <w:tc>
          <w:tcPr>
            <w:tcW w:w="1008"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356"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5"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1756"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828"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36"/>
        </w:trPr>
        <w:tc>
          <w:tcPr>
            <w:tcW w:w="13968" w:type="dxa"/>
            <w:gridSpan w:val="11"/>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注：本表反映部门本年度政府性基金预算财政拨款收入、支出及结转和结余情况。</w:t>
            </w:r>
          </w:p>
        </w:tc>
      </w:tr>
    </w:tbl>
    <w:p>
      <w:pPr>
        <w:rPr>
          <w:rFonts w:ascii="方正仿宋_GBK" w:eastAsia="方正仿宋_GBK"/>
          <w:color w:val="FF0000"/>
          <w:sz w:val="32"/>
          <w:szCs w:val="32"/>
        </w:rPr>
        <w:sectPr>
          <w:pgSz w:w="16840" w:h="11907" w:orient="landscape"/>
          <w:pgMar w:top="1701" w:right="1440" w:bottom="1701" w:left="1440" w:header="851" w:footer="992" w:gutter="0"/>
          <w:docGrid w:linePitch="312" w:charSpace="0"/>
        </w:sectPr>
      </w:pPr>
    </w:p>
    <w:p>
      <w:pPr>
        <w:rPr>
          <w:color w:val="FF0000"/>
        </w:rPr>
      </w:pPr>
    </w:p>
    <w:tbl>
      <w:tblPr>
        <w:jc w:val="left"/>
        <w:tblInd w:w="93" w:type="dxa"/>
        <w:tblW w:w="142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03"/>
        <w:gridCol w:w="303"/>
        <w:gridCol w:w="304"/>
        <w:gridCol w:w="2755"/>
        <w:gridCol w:w="2922"/>
        <w:gridCol w:w="2922"/>
        <w:gridCol w:w="4709"/>
      </w:tblGrid>
      <w:tr>
        <w:trPr>
          <w:trHeight w:val="406"/>
        </w:trPr>
        <w:tc>
          <w:tcPr>
            <w:tcW w:w="14218" w:type="dxa"/>
            <w:gridSpan w:val="7"/>
            <w:tcBorders>
              <w:top w:val="nil"/>
              <w:left w:val="nil"/>
              <w:bottom w:val="nil"/>
              <w:right w:val="nil"/>
            </w:tcBorders>
            <w:shd w:val="clear" w:color="auto" w:fill="auto"/>
            <w:noWrap/>
            <w:vAlign w:val="bottom"/>
          </w:tcPr>
          <w:p>
            <w:pPr>
              <w:widowControl/>
              <w:jc w:val="center"/>
              <w:rPr>
                <w:rFonts w:ascii="宋体" w:cs="Arial"/>
                <w:kern w:val="0"/>
                <w:sz w:val="30"/>
                <w:szCs w:val="30"/>
              </w:rPr>
            </w:pPr>
            <w:r>
              <w:rPr>
                <w:rFonts w:ascii="宋体" w:cs="Arial" w:hint="eastAsia"/>
                <w:kern w:val="0"/>
                <w:sz w:val="30"/>
                <w:szCs w:val="30"/>
              </w:rPr>
              <w:t>国有资本经营预算财政拨款支出决算表</w:t>
            </w:r>
          </w:p>
        </w:tc>
      </w:tr>
      <w:tr>
        <w:trPr>
          <w:trHeight w:val="265"/>
        </w:trPr>
        <w:tc>
          <w:tcPr>
            <w:tcW w:w="30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0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304"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755"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92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92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709"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公开08表</w:t>
            </w:r>
          </w:p>
        </w:tc>
      </w:tr>
      <w:tr>
        <w:trPr>
          <w:trHeight w:val="265"/>
        </w:trPr>
        <w:tc>
          <w:tcPr>
            <w:tcW w:w="3665" w:type="dxa"/>
            <w:gridSpan w:val="4"/>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292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292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4709" w:type="dxa"/>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21"/>
        </w:trPr>
        <w:tc>
          <w:tcPr>
            <w:tcW w:w="366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项目</w:t>
            </w:r>
          </w:p>
        </w:tc>
        <w:tc>
          <w:tcPr>
            <w:tcW w:w="10553"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本年支出</w:t>
            </w:r>
          </w:p>
        </w:tc>
      </w:tr>
      <w:tr>
        <w:trPr>
          <w:trHeight w:val="321"/>
        </w:trPr>
        <w:tc>
          <w:tcPr>
            <w:tcW w:w="910" w:type="dxa"/>
            <w:gridSpan w:val="3"/>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科目代码</w:t>
            </w:r>
          </w:p>
        </w:tc>
        <w:tc>
          <w:tcPr>
            <w:tcW w:w="2755" w:type="dxa"/>
            <w:vMerge w:val="restart"/>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科目名称</w:t>
            </w:r>
          </w:p>
        </w:tc>
        <w:tc>
          <w:tcPr>
            <w:tcW w:w="292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合计</w:t>
            </w:r>
          </w:p>
        </w:tc>
        <w:tc>
          <w:tcPr>
            <w:tcW w:w="292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基本支出</w:t>
            </w:r>
          </w:p>
        </w:tc>
        <w:tc>
          <w:tcPr>
            <w:tcW w:w="4709"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项目支出</w:t>
            </w:r>
          </w:p>
        </w:tc>
      </w:tr>
      <w:tr>
        <w:trPr>
          <w:trHeight w:val="321"/>
        </w:trPr>
        <w:tc>
          <w:tcPr>
            <w:tcW w:w="910" w:type="dxa"/>
            <w:gridSpan w:val="3"/>
            <w:vMerge/>
            <w:tcBorders>
              <w:top w:val="nil"/>
              <w:left w:val="single" w:sz="4" w:space="0" w:color="000000"/>
              <w:bottom w:val="single" w:sz="4" w:space="0" w:color="000000"/>
              <w:right w:val="single" w:sz="4" w:space="0" w:color="000000"/>
            </w:tcBorders>
            <w:vAlign w:val="center"/>
          </w:tcPr>
          <w:p/>
        </w:tc>
        <w:tc>
          <w:tcPr>
            <w:tcW w:w="2755" w:type="dxa"/>
            <w:vMerge/>
            <w:tcBorders>
              <w:top w:val="nil"/>
              <w:left w:val="nil"/>
              <w:bottom w:val="single" w:sz="4" w:space="0" w:color="000000"/>
              <w:right w:val="single" w:sz="4" w:space="0" w:color="000000"/>
            </w:tcBorders>
            <w:vAlign w:val="center"/>
          </w:tcPr>
          <w:p/>
        </w:tc>
        <w:tc>
          <w:tcPr>
            <w:tcW w:w="2922" w:type="dxa"/>
            <w:vMerge/>
            <w:tcBorders>
              <w:top w:val="nil"/>
              <w:left w:val="nil"/>
              <w:bottom w:val="single" w:sz="4" w:space="0" w:color="000000"/>
              <w:right w:val="single" w:sz="4" w:space="0" w:color="000000"/>
            </w:tcBorders>
            <w:vAlign w:val="center"/>
          </w:tcPr>
          <w:p/>
        </w:tc>
        <w:tc>
          <w:tcPr>
            <w:tcW w:w="2922" w:type="dxa"/>
            <w:vMerge/>
            <w:tcBorders>
              <w:top w:val="nil"/>
              <w:left w:val="nil"/>
              <w:bottom w:val="single" w:sz="4" w:space="0" w:color="000000"/>
              <w:right w:val="single" w:sz="4" w:space="0" w:color="000000"/>
            </w:tcBorders>
            <w:vAlign w:val="center"/>
          </w:tcPr>
          <w:p/>
        </w:tc>
        <w:tc>
          <w:tcPr>
            <w:tcW w:w="4709" w:type="dxa"/>
            <w:vMerge/>
            <w:tcBorders>
              <w:top w:val="nil"/>
              <w:left w:val="nil"/>
              <w:bottom w:val="single" w:sz="4" w:space="0" w:color="000000"/>
              <w:right w:val="single" w:sz="4" w:space="0" w:color="000000"/>
            </w:tcBorders>
            <w:vAlign w:val="center"/>
          </w:tcPr>
          <w:p/>
        </w:tc>
      </w:tr>
      <w:tr>
        <w:trPr>
          <w:trHeight w:val="321"/>
        </w:trPr>
        <w:tc>
          <w:tcPr>
            <w:tcW w:w="910" w:type="dxa"/>
            <w:gridSpan w:val="3"/>
            <w:vMerge/>
            <w:tcBorders>
              <w:top w:val="nil"/>
              <w:left w:val="single" w:sz="4" w:space="0" w:color="000000"/>
              <w:bottom w:val="single" w:sz="4" w:space="0" w:color="000000"/>
              <w:right w:val="single" w:sz="4" w:space="0" w:color="000000"/>
            </w:tcBorders>
            <w:vAlign w:val="center"/>
          </w:tcPr>
          <w:p/>
        </w:tc>
        <w:tc>
          <w:tcPr>
            <w:tcW w:w="2755" w:type="dxa"/>
            <w:vMerge/>
            <w:tcBorders>
              <w:top w:val="nil"/>
              <w:left w:val="nil"/>
              <w:bottom w:val="single" w:sz="4" w:space="0" w:color="000000"/>
              <w:right w:val="single" w:sz="4" w:space="0" w:color="000000"/>
            </w:tcBorders>
            <w:vAlign w:val="center"/>
          </w:tcPr>
          <w:p/>
        </w:tc>
        <w:tc>
          <w:tcPr>
            <w:tcW w:w="2922" w:type="dxa"/>
            <w:vMerge/>
            <w:tcBorders>
              <w:top w:val="nil"/>
              <w:left w:val="nil"/>
              <w:bottom w:val="single" w:sz="4" w:space="0" w:color="000000"/>
              <w:right w:val="single" w:sz="4" w:space="0" w:color="000000"/>
            </w:tcBorders>
            <w:vAlign w:val="center"/>
          </w:tcPr>
          <w:p/>
        </w:tc>
        <w:tc>
          <w:tcPr>
            <w:tcW w:w="2922" w:type="dxa"/>
            <w:vMerge/>
            <w:tcBorders>
              <w:top w:val="nil"/>
              <w:left w:val="nil"/>
              <w:bottom w:val="single" w:sz="4" w:space="0" w:color="000000"/>
              <w:right w:val="single" w:sz="4" w:space="0" w:color="000000"/>
            </w:tcBorders>
            <w:vAlign w:val="center"/>
          </w:tcPr>
          <w:p/>
        </w:tc>
        <w:tc>
          <w:tcPr>
            <w:tcW w:w="4709" w:type="dxa"/>
            <w:vMerge/>
            <w:tcBorders>
              <w:top w:val="nil"/>
              <w:left w:val="nil"/>
              <w:bottom w:val="single" w:sz="4" w:space="0" w:color="000000"/>
              <w:right w:val="single" w:sz="4" w:space="0" w:color="000000"/>
            </w:tcBorders>
            <w:vAlign w:val="center"/>
          </w:tcPr>
          <w:p/>
        </w:tc>
      </w:tr>
      <w:tr>
        <w:trPr>
          <w:trHeight w:val="321"/>
        </w:trPr>
        <w:tc>
          <w:tcPr>
            <w:tcW w:w="3665"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栏次</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1</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2</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3</w:t>
            </w:r>
          </w:p>
        </w:tc>
      </w:tr>
      <w:tr>
        <w:trPr>
          <w:trHeight w:val="321"/>
        </w:trPr>
        <w:tc>
          <w:tcPr>
            <w:tcW w:w="3665" w:type="dxa"/>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ascii="宋体" w:cs="Arial"/>
                <w:kern w:val="0"/>
                <w:sz w:val="22"/>
                <w:szCs w:val="22"/>
              </w:rPr>
            </w:pPr>
            <w:r>
              <w:rPr>
                <w:rFonts w:ascii="宋体" w:cs="Arial" w:hint="eastAsia"/>
                <w:kern w:val="0"/>
                <w:sz w:val="22"/>
                <w:szCs w:val="22"/>
              </w:rPr>
              <w:t>合计</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szCs w:val="22"/>
              </w:rPr>
            </w:pPr>
            <w:r>
              <w:rPr>
                <w:rFonts w:ascii="宋体" w:cs="Arial" w:hint="eastAsia"/>
                <w:b/>
                <w:bCs/>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szCs w:val="22"/>
              </w:rPr>
            </w:pPr>
            <w:r>
              <w:rPr>
                <w:rFonts w:ascii="宋体" w:cs="Arial" w:hint="eastAsia"/>
                <w:b/>
                <w:bCs/>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b/>
                <w:bCs/>
                <w:kern w:val="0"/>
                <w:sz w:val="22"/>
                <w:szCs w:val="22"/>
              </w:rPr>
            </w:pPr>
            <w:r>
              <w:rPr>
                <w:rFonts w:ascii="宋体" w:cs="Arial" w:hint="eastAsia"/>
                <w:b/>
                <w:bCs/>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910" w:type="dxa"/>
            <w:gridSpan w:val="3"/>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755" w:type="dxa"/>
            <w:tcBorders>
              <w:top w:val="nil"/>
              <w:left w:val="nil"/>
              <w:bottom w:val="single" w:sz="4" w:space="0" w:color="000000"/>
              <w:right w:val="single" w:sz="4" w:space="0" w:color="000000"/>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2922"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c>
          <w:tcPr>
            <w:tcW w:w="4709" w:type="dxa"/>
            <w:tcBorders>
              <w:top w:val="nil"/>
              <w:left w:val="nil"/>
              <w:bottom w:val="single" w:sz="4" w:space="0" w:color="000000"/>
              <w:right w:val="single" w:sz="4" w:space="0" w:color="000000"/>
            </w:tcBorders>
            <w:shd w:val="clear" w:color="auto" w:fill="auto"/>
            <w:noWrap/>
            <w:vAlign w:val="center"/>
          </w:tcPr>
          <w:p>
            <w:pPr>
              <w:widowControl/>
              <w:jc w:val="right"/>
              <w:rPr>
                <w:rFonts w:ascii="宋体" w:cs="Arial"/>
                <w:kern w:val="0"/>
                <w:sz w:val="22"/>
                <w:szCs w:val="22"/>
              </w:rPr>
            </w:pPr>
            <w:r>
              <w:rPr>
                <w:rFonts w:ascii="宋体" w:cs="Arial" w:hint="eastAsia"/>
                <w:kern w:val="0"/>
                <w:sz w:val="22"/>
                <w:szCs w:val="22"/>
              </w:rPr>
              <w:t>　</w:t>
            </w:r>
          </w:p>
        </w:tc>
      </w:tr>
      <w:tr>
        <w:trPr>
          <w:trHeight w:val="321"/>
        </w:trPr>
        <w:tc>
          <w:tcPr>
            <w:tcW w:w="14218" w:type="dxa"/>
            <w:gridSpan w:val="7"/>
            <w:tcBorders>
              <w:top w:val="nil"/>
              <w:left w:val="nil"/>
              <w:bottom w:val="nil"/>
              <w:right w:val="nil"/>
            </w:tcBorders>
            <w:shd w:val="clear" w:color="auto" w:fill="auto"/>
            <w:noWrap/>
            <w:vAlign w:val="center"/>
          </w:tcPr>
          <w:p>
            <w:pPr>
              <w:widowControl/>
              <w:jc w:val="left"/>
              <w:rPr>
                <w:rFonts w:ascii="宋体" w:cs="Arial"/>
                <w:kern w:val="0"/>
                <w:sz w:val="22"/>
                <w:szCs w:val="22"/>
              </w:rPr>
            </w:pPr>
            <w:r>
              <w:rPr>
                <w:rFonts w:ascii="宋体" w:cs="Arial" w:hint="eastAsia"/>
                <w:kern w:val="0"/>
                <w:sz w:val="22"/>
                <w:szCs w:val="22"/>
              </w:rPr>
              <w:t>注：本表反映部门本年度国有资本经营预算财政拨款支出情况。</w:t>
            </w:r>
          </w:p>
        </w:tc>
      </w:tr>
    </w:tbl>
    <w:p>
      <w:pPr>
        <w:rPr>
          <w:kern w:val="0"/>
          <w:sz w:val="22"/>
          <w:szCs w:val="28"/>
        </w:rPr>
      </w:pPr>
    </w:p>
    <w:p>
      <w:pPr>
        <w:rPr>
          <w:rFonts w:ascii="方正仿宋_GBK" w:eastAsia="方正仿宋_GBK"/>
          <w:color w:val="FF0000"/>
          <w:kern w:val="0"/>
          <w:sz w:val="32"/>
          <w:szCs w:val="32"/>
        </w:rPr>
      </w:pPr>
      <w:r>
        <w:rPr>
          <w:rFonts w:ascii="方正仿宋_GBK" w:eastAsia="方正仿宋_GBK" w:hint="eastAsia"/>
          <w:kern w:val="0"/>
          <w:sz w:val="32"/>
          <w:szCs w:val="32"/>
        </w:rPr>
        <w:t>说明：惠州海关没有使用国有资本经营预算安排的支出，故本表无数据。</w:t>
      </w:r>
    </w:p>
    <w:p>
      <w:pPr>
        <w:rPr>
          <w:rFonts w:ascii="方正仿宋_GBK" w:eastAsia="方正仿宋_GBK"/>
          <w:color w:val="FF0000"/>
          <w:kern w:val="0"/>
          <w:sz w:val="32"/>
          <w:szCs w:val="32"/>
        </w:rPr>
        <w:sectPr>
          <w:pgSz w:w="16840" w:h="11907" w:orient="landscape"/>
          <w:pgMar w:top="1701" w:right="1440" w:bottom="1701" w:left="1440" w:header="851" w:footer="992" w:gutter="0"/>
          <w:docGrid w:linePitch="312" w:charSpace="0"/>
        </w:sectPr>
      </w:pPr>
    </w:p>
    <w:p>
      <w:pPr>
        <w:rPr>
          <w:color w:val="FF0000"/>
        </w:rPr>
      </w:pPr>
    </w:p>
    <w:tbl>
      <w:tblPr>
        <w:jc w:val="left"/>
        <w:tblInd w:w="93" w:type="dxa"/>
        <w:tblW w:w="1416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00"/>
        <w:gridCol w:w="1100"/>
        <w:gridCol w:w="1200"/>
        <w:gridCol w:w="1200"/>
        <w:gridCol w:w="1200"/>
        <w:gridCol w:w="992"/>
        <w:gridCol w:w="1200"/>
        <w:gridCol w:w="1053"/>
        <w:gridCol w:w="1200"/>
        <w:gridCol w:w="1198"/>
        <w:gridCol w:w="946"/>
        <w:gridCol w:w="242"/>
        <w:gridCol w:w="1430"/>
      </w:tblGrid>
      <w:tr>
        <w:trPr>
          <w:trHeight w:val="540"/>
        </w:trPr>
        <w:tc>
          <w:tcPr>
            <w:tcW w:w="14161" w:type="dxa"/>
            <w:gridSpan w:val="13"/>
            <w:tcBorders>
              <w:top w:val="nil"/>
              <w:left w:val="nil"/>
              <w:bottom w:val="nil"/>
              <w:right w:val="nil"/>
            </w:tcBorders>
            <w:shd w:val="clear" w:color="auto" w:fill="auto"/>
            <w:noWrap/>
            <w:vAlign w:val="bottom"/>
          </w:tcPr>
          <w:p>
            <w:pPr>
              <w:widowControl/>
              <w:jc w:val="center"/>
              <w:rPr>
                <w:rFonts w:ascii="宋体" w:cs="Arial"/>
                <w:kern w:val="0"/>
                <w:sz w:val="44"/>
                <w:szCs w:val="44"/>
              </w:rPr>
            </w:pPr>
            <w:r>
              <w:rPr>
                <w:rFonts w:ascii="宋体" w:cs="Arial" w:hint="eastAsia"/>
                <w:kern w:val="0"/>
                <w:sz w:val="44"/>
                <w:szCs w:val="44"/>
              </w:rPr>
              <w:t>财政拨款“三公”经费支出决算表</w:t>
            </w:r>
          </w:p>
        </w:tc>
      </w:tr>
      <w:tr>
        <w:trPr>
          <w:trHeight w:val="255"/>
        </w:trPr>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1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05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198"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4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672" w:type="dxa"/>
            <w:gridSpan w:val="2"/>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公开09表</w:t>
            </w:r>
          </w:p>
        </w:tc>
      </w:tr>
      <w:tr>
        <w:trPr>
          <w:trHeight w:val="255"/>
        </w:trPr>
        <w:tc>
          <w:tcPr>
            <w:tcW w:w="2300" w:type="dxa"/>
            <w:gridSpan w:val="2"/>
            <w:tcBorders>
              <w:top w:val="nil"/>
              <w:left w:val="nil"/>
              <w:bottom w:val="nil"/>
              <w:right w:val="nil"/>
            </w:tcBorders>
            <w:shd w:val="clear" w:color="auto" w:fill="auto"/>
            <w:noWrap/>
            <w:vAlign w:val="bottom"/>
          </w:tcPr>
          <w:p>
            <w:pPr>
              <w:widowControl/>
              <w:jc w:val="left"/>
              <w:rPr>
                <w:rFonts w:ascii="宋体" w:cs="Arial"/>
                <w:kern w:val="0"/>
                <w:sz w:val="20"/>
                <w:szCs w:val="20"/>
              </w:rPr>
            </w:pPr>
            <w:r>
              <w:rPr>
                <w:rFonts w:ascii="宋体" w:cs="Arial" w:hint="eastAsia"/>
                <w:kern w:val="0"/>
                <w:sz w:val="20"/>
                <w:szCs w:val="20"/>
              </w:rPr>
              <w:t>部门：惠州海关</w:t>
            </w: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92"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053"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200"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198"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946" w:type="dxa"/>
            <w:tcBorders>
              <w:top w:val="nil"/>
              <w:left w:val="nil"/>
              <w:bottom w:val="nil"/>
              <w:right w:val="nil"/>
            </w:tcBorders>
            <w:shd w:val="clear" w:color="auto" w:fill="auto"/>
            <w:noWrap/>
            <w:vAlign w:val="bottom"/>
          </w:tcPr>
          <w:p>
            <w:pPr>
              <w:widowControl/>
              <w:jc w:val="left"/>
              <w:rPr>
                <w:rFonts w:ascii="Arial" w:cs="Arial" w:hAnsi="Arial"/>
                <w:kern w:val="0"/>
                <w:sz w:val="20"/>
                <w:szCs w:val="20"/>
              </w:rPr>
            </w:pPr>
          </w:p>
        </w:tc>
        <w:tc>
          <w:tcPr>
            <w:tcW w:w="1672" w:type="dxa"/>
            <w:gridSpan w:val="2"/>
            <w:tcBorders>
              <w:top w:val="nil"/>
              <w:left w:val="nil"/>
              <w:bottom w:val="nil"/>
              <w:right w:val="nil"/>
            </w:tcBorders>
            <w:shd w:val="clear" w:color="auto" w:fill="auto"/>
            <w:noWrap/>
            <w:vAlign w:val="bottom"/>
          </w:tcPr>
          <w:p>
            <w:pPr>
              <w:widowControl/>
              <w:jc w:val="right"/>
              <w:rPr>
                <w:rFonts w:ascii="宋体" w:cs="Arial"/>
                <w:kern w:val="0"/>
                <w:sz w:val="20"/>
                <w:szCs w:val="20"/>
              </w:rPr>
            </w:pPr>
            <w:r>
              <w:rPr>
                <w:rFonts w:ascii="宋体" w:cs="Arial" w:hint="eastAsia"/>
                <w:kern w:val="0"/>
                <w:sz w:val="20"/>
                <w:szCs w:val="20"/>
              </w:rPr>
              <w:t>金额单位：万元</w:t>
            </w:r>
          </w:p>
        </w:tc>
      </w:tr>
      <w:tr>
        <w:trPr>
          <w:trHeight w:val="308"/>
        </w:trPr>
        <w:tc>
          <w:tcPr>
            <w:tcW w:w="689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预算数</w:t>
            </w:r>
          </w:p>
        </w:tc>
        <w:tc>
          <w:tcPr>
            <w:tcW w:w="7269" w:type="dxa"/>
            <w:gridSpan w:val="7"/>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决算数</w:t>
            </w:r>
          </w:p>
        </w:tc>
      </w:tr>
      <w:tr>
        <w:trPr>
          <w:trHeight w:val="495"/>
        </w:trPr>
        <w:tc>
          <w:tcPr>
            <w:tcW w:w="1200" w:type="dxa"/>
            <w:vMerge w:val="restar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合计</w:t>
            </w:r>
          </w:p>
        </w:tc>
        <w:tc>
          <w:tcPr>
            <w:tcW w:w="110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因公出国（境）费</w:t>
            </w:r>
          </w:p>
        </w:tc>
        <w:tc>
          <w:tcPr>
            <w:tcW w:w="3600" w:type="dxa"/>
            <w:gridSpan w:val="3"/>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公务用车购置及运行维护费</w:t>
            </w:r>
          </w:p>
        </w:tc>
        <w:tc>
          <w:tcPr>
            <w:tcW w:w="992"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公务接待费</w:t>
            </w:r>
          </w:p>
        </w:tc>
        <w:tc>
          <w:tcPr>
            <w:tcW w:w="120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合计</w:t>
            </w:r>
          </w:p>
        </w:tc>
        <w:tc>
          <w:tcPr>
            <w:tcW w:w="1053"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因公出国（境）费</w:t>
            </w:r>
          </w:p>
        </w:tc>
        <w:tc>
          <w:tcPr>
            <w:tcW w:w="3586" w:type="dxa"/>
            <w:gridSpan w:val="4"/>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公务用车购置及运行维护费</w:t>
            </w:r>
          </w:p>
        </w:tc>
        <w:tc>
          <w:tcPr>
            <w:tcW w:w="1430" w:type="dxa"/>
            <w:vMerge w:val="restart"/>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公务接待费</w:t>
            </w:r>
          </w:p>
        </w:tc>
      </w:tr>
      <w:tr>
        <w:trPr>
          <w:trHeight w:val="615"/>
        </w:trPr>
        <w:tc>
          <w:tcPr>
            <w:tcW w:w="1200" w:type="dxa"/>
            <w:vMerge/>
            <w:tcBorders>
              <w:top w:val="nil"/>
              <w:left w:val="single" w:sz="4" w:space="0" w:color="000000"/>
              <w:bottom w:val="single" w:sz="4" w:space="0" w:color="000000"/>
              <w:right w:val="single" w:sz="4" w:space="0" w:color="000000"/>
            </w:tcBorders>
            <w:vAlign w:val="center"/>
          </w:tcPr>
          <w:p/>
        </w:tc>
        <w:tc>
          <w:tcPr>
            <w:tcW w:w="1100" w:type="dxa"/>
            <w:vMerge/>
            <w:tcBorders>
              <w:top w:val="nil"/>
              <w:left w:val="nil"/>
              <w:bottom w:val="single" w:sz="4" w:space="0" w:color="000000"/>
              <w:right w:val="single" w:sz="4" w:space="0" w:color="000000"/>
            </w:tcBorders>
            <w:vAlign w:val="center"/>
          </w:tcP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小计</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公务用车购置费</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公务用车运行维护费</w:t>
            </w:r>
          </w:p>
        </w:tc>
        <w:tc>
          <w:tcPr>
            <w:tcW w:w="992" w:type="dxa"/>
            <w:vMerge/>
            <w:tcBorders>
              <w:top w:val="nil"/>
              <w:left w:val="nil"/>
              <w:bottom w:val="single" w:sz="4" w:space="0" w:color="000000"/>
              <w:right w:val="single" w:sz="4" w:space="0" w:color="000000"/>
            </w:tcBorders>
            <w:vAlign w:val="center"/>
          </w:tcPr>
          <w:p/>
        </w:tc>
        <w:tc>
          <w:tcPr>
            <w:tcW w:w="1200" w:type="dxa"/>
            <w:vMerge/>
            <w:tcBorders>
              <w:top w:val="nil"/>
              <w:left w:val="nil"/>
              <w:bottom w:val="single" w:sz="4" w:space="0" w:color="000000"/>
              <w:right w:val="single" w:sz="4" w:space="0" w:color="000000"/>
            </w:tcBorders>
            <w:vAlign w:val="center"/>
          </w:tcPr>
          <w:p/>
        </w:tc>
        <w:tc>
          <w:tcPr>
            <w:tcW w:w="1053" w:type="dxa"/>
            <w:vMerge/>
            <w:tcBorders>
              <w:top w:val="nil"/>
              <w:left w:val="nil"/>
              <w:bottom w:val="single" w:sz="4" w:space="0" w:color="000000"/>
              <w:right w:val="single" w:sz="4" w:space="0" w:color="000000"/>
            </w:tcBorders>
            <w:vAlign w:val="center"/>
          </w:tcP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小计</w:t>
            </w:r>
          </w:p>
        </w:tc>
        <w:tc>
          <w:tcPr>
            <w:tcW w:w="119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公务用车购置费</w:t>
            </w:r>
          </w:p>
        </w:tc>
        <w:tc>
          <w:tcPr>
            <w:tcW w:w="1188"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公务用车运行维护费</w:t>
            </w:r>
          </w:p>
        </w:tc>
        <w:tc>
          <w:tcPr>
            <w:tcW w:w="1430" w:type="dxa"/>
            <w:vMerge/>
            <w:tcBorders>
              <w:top w:val="nil"/>
              <w:left w:val="nil"/>
              <w:bottom w:val="single" w:sz="4" w:space="0" w:color="000000"/>
              <w:right w:val="single" w:sz="4" w:space="0" w:color="000000"/>
            </w:tcBorders>
            <w:vAlign w:val="center"/>
          </w:tcPr>
          <w:p/>
        </w:tc>
      </w:tr>
      <w:tr>
        <w:trPr>
          <w:trHeight w:val="600"/>
        </w:trPr>
        <w:tc>
          <w:tcPr>
            <w:tcW w:w="1200" w:type="dxa"/>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1</w:t>
            </w:r>
          </w:p>
        </w:tc>
        <w:tc>
          <w:tcPr>
            <w:tcW w:w="11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2</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3</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4</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5</w:t>
            </w:r>
          </w:p>
        </w:tc>
        <w:tc>
          <w:tcPr>
            <w:tcW w:w="992"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6</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7</w:t>
            </w:r>
          </w:p>
        </w:tc>
        <w:tc>
          <w:tcPr>
            <w:tcW w:w="1053"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8</w:t>
            </w:r>
          </w:p>
        </w:tc>
        <w:tc>
          <w:tcPr>
            <w:tcW w:w="120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9</w:t>
            </w:r>
          </w:p>
        </w:tc>
        <w:tc>
          <w:tcPr>
            <w:tcW w:w="1198"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10</w:t>
            </w:r>
          </w:p>
        </w:tc>
        <w:tc>
          <w:tcPr>
            <w:tcW w:w="1188" w:type="dxa"/>
            <w:gridSpan w:val="2"/>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11</w:t>
            </w:r>
          </w:p>
        </w:tc>
        <w:tc>
          <w:tcPr>
            <w:tcW w:w="1430" w:type="dxa"/>
            <w:tcBorders>
              <w:top w:val="nil"/>
              <w:left w:val="nil"/>
              <w:bottom w:val="single" w:sz="4" w:space="0" w:color="000000"/>
              <w:right w:val="single" w:sz="4" w:space="0" w:color="000000"/>
            </w:tcBorders>
            <w:shd w:val="clear" w:color="auto" w:fill="auto"/>
            <w:vAlign w:val="center"/>
          </w:tcPr>
          <w:p>
            <w:pPr>
              <w:widowControl/>
              <w:jc w:val="center"/>
              <w:rPr>
                <w:rFonts w:ascii="宋体" w:cs="Arial"/>
                <w:kern w:val="0"/>
                <w:sz w:val="22"/>
                <w:szCs w:val="22"/>
              </w:rPr>
            </w:pPr>
            <w:r>
              <w:rPr>
                <w:rFonts w:ascii="宋体" w:cs="Arial" w:hint="eastAsia"/>
                <w:kern w:val="0"/>
                <w:sz w:val="22"/>
                <w:szCs w:val="22"/>
              </w:rPr>
              <w:t>12</w:t>
            </w:r>
          </w:p>
        </w:tc>
      </w:tr>
      <w:tr>
        <w:trPr>
          <w:trHeight w:val="780"/>
        </w:trPr>
        <w:tc>
          <w:tcPr>
            <w:tcW w:w="1200" w:type="dxa"/>
            <w:tcBorders>
              <w:top w:val="nil"/>
              <w:left w:val="single" w:sz="4" w:space="0" w:color="000000"/>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102.00 </w:t>
            </w:r>
          </w:p>
        </w:tc>
        <w:tc>
          <w:tcPr>
            <w:tcW w:w="1100" w:type="dxa"/>
            <w:tcBorders>
              <w:top w:val="nil"/>
              <w:left w:val="nil"/>
              <w:bottom w:val="single" w:sz="4" w:space="0" w:color="000000"/>
              <w:right w:val="single" w:sz="4" w:space="0" w:color="000000"/>
            </w:tcBorders>
            <w:shd w:val="clear" w:color="auto" w:fill="auto"/>
            <w:noWrap/>
          </w:tcPr>
          <w:p>
            <w:pPr>
              <w:jc w:val="right"/>
              <w:rPr>
                <w:sz w:val="22"/>
              </w:rPr>
            </w:pPr>
          </w:p>
        </w:tc>
        <w:tc>
          <w:tcPr>
            <w:tcW w:w="1200"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101.00 </w:t>
            </w:r>
          </w:p>
        </w:tc>
        <w:tc>
          <w:tcPr>
            <w:tcW w:w="1200" w:type="dxa"/>
            <w:tcBorders>
              <w:top w:val="nil"/>
              <w:left w:val="nil"/>
              <w:bottom w:val="single" w:sz="4" w:space="0" w:color="000000"/>
              <w:right w:val="single" w:sz="4" w:space="0" w:color="000000"/>
            </w:tcBorders>
            <w:shd w:val="clear" w:color="auto" w:fill="auto"/>
            <w:noWrap/>
          </w:tcPr>
          <w:p>
            <w:pPr>
              <w:jc w:val="right"/>
              <w:rPr>
                <w:sz w:val="22"/>
              </w:rPr>
            </w:pPr>
          </w:p>
        </w:tc>
        <w:tc>
          <w:tcPr>
            <w:tcW w:w="1200"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101.00 </w:t>
            </w:r>
          </w:p>
        </w:tc>
        <w:tc>
          <w:tcPr>
            <w:tcW w:w="992"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1.00 </w:t>
            </w:r>
          </w:p>
        </w:tc>
        <w:tc>
          <w:tcPr>
            <w:tcW w:w="1200"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64.41 </w:t>
            </w:r>
          </w:p>
        </w:tc>
        <w:tc>
          <w:tcPr>
            <w:tcW w:w="1053" w:type="dxa"/>
            <w:tcBorders>
              <w:top w:val="nil"/>
              <w:left w:val="nil"/>
              <w:bottom w:val="single" w:sz="4" w:space="0" w:color="000000"/>
              <w:right w:val="single" w:sz="4" w:space="0" w:color="000000"/>
            </w:tcBorders>
            <w:shd w:val="clear" w:color="auto" w:fill="auto"/>
            <w:noWrap/>
          </w:tcPr>
          <w:p>
            <w:pPr>
              <w:jc w:val="right"/>
              <w:rPr>
                <w:sz w:val="22"/>
              </w:rPr>
            </w:pPr>
          </w:p>
        </w:tc>
        <w:tc>
          <w:tcPr>
            <w:tcW w:w="1200" w:type="dxa"/>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64.41 </w:t>
            </w:r>
          </w:p>
        </w:tc>
        <w:tc>
          <w:tcPr>
            <w:tcW w:w="1198" w:type="dxa"/>
            <w:tcBorders>
              <w:top w:val="nil"/>
              <w:left w:val="nil"/>
              <w:bottom w:val="single" w:sz="4" w:space="0" w:color="000000"/>
              <w:right w:val="single" w:sz="4" w:space="0" w:color="000000"/>
            </w:tcBorders>
            <w:shd w:val="clear" w:color="auto" w:fill="auto"/>
            <w:noWrap/>
          </w:tcPr>
          <w:p>
            <w:pPr>
              <w:jc w:val="right"/>
              <w:rPr>
                <w:sz w:val="22"/>
              </w:rPr>
            </w:pPr>
          </w:p>
        </w:tc>
        <w:tc>
          <w:tcPr>
            <w:tcW w:w="1188" w:type="dxa"/>
            <w:gridSpan w:val="2"/>
            <w:tcBorders>
              <w:top w:val="nil"/>
              <w:left w:val="nil"/>
              <w:bottom w:val="single" w:sz="4" w:space="0" w:color="000000"/>
              <w:right w:val="single" w:sz="4" w:space="0" w:color="000000"/>
            </w:tcBorders>
            <w:shd w:val="clear" w:color="auto" w:fill="auto"/>
            <w:noWrap/>
          </w:tcPr>
          <w:p>
            <w:pPr>
              <w:jc w:val="right"/>
              <w:rPr>
                <w:rFonts w:ascii="宋体" w:cs="宋体"/>
                <w:sz w:val="22"/>
              </w:rPr>
            </w:pPr>
            <w:r>
              <w:rPr>
                <w:rFonts w:ascii="宋体" w:cs="宋体"/>
                <w:sz w:val="22"/>
              </w:rPr>
              <w:t xml:space="preserve">64.41 </w:t>
            </w:r>
          </w:p>
        </w:tc>
        <w:tc>
          <w:tcPr>
            <w:tcW w:w="1430" w:type="dxa"/>
            <w:tcBorders>
              <w:top w:val="nil"/>
              <w:left w:val="nil"/>
              <w:bottom w:val="single" w:sz="4" w:space="0" w:color="000000"/>
              <w:right w:val="single" w:sz="4" w:space="0" w:color="000000"/>
            </w:tcBorders>
            <w:shd w:val="clear" w:color="auto" w:fill="auto"/>
            <w:noWrap/>
            <w:vAlign w:val="center"/>
          </w:tcPr>
          <w:p>
            <w:pPr>
              <w:jc w:val="right"/>
              <w:rPr>
                <w:sz w:val="24"/>
              </w:rPr>
            </w:pPr>
          </w:p>
        </w:tc>
      </w:tr>
      <w:tr>
        <w:trPr>
          <w:trHeight w:val="615"/>
        </w:trPr>
        <w:tc>
          <w:tcPr>
            <w:tcW w:w="14161" w:type="dxa"/>
            <w:gridSpan w:val="13"/>
            <w:tcBorders>
              <w:top w:val="nil"/>
              <w:left w:val="nil"/>
              <w:bottom w:val="nil"/>
              <w:right w:val="nil"/>
            </w:tcBorders>
            <w:shd w:val="clear" w:color="auto" w:fill="auto"/>
            <w:vAlign w:val="center"/>
          </w:tcPr>
          <w:p>
            <w:pPr>
              <w:widowControl/>
              <w:jc w:val="left"/>
              <w:rPr>
                <w:rFonts w:ascii="宋体" w:cs="Arial"/>
                <w:kern w:val="0"/>
                <w:sz w:val="22"/>
                <w:szCs w:val="22"/>
              </w:rPr>
            </w:pPr>
            <w:r>
              <w:rPr>
                <w:rFonts w:ascii="宋体" w:cs="Arial" w:hint="eastAsia"/>
                <w:kern w:val="0"/>
                <w:sz w:val="22"/>
                <w:szCs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rPr>
          <w:color w:val="FF0000"/>
        </w:rPr>
        <w:sectPr>
          <w:pgSz w:w="16840" w:h="11907" w:orient="landscape"/>
          <w:pgMar w:top="1701" w:right="1440" w:bottom="1701" w:left="1440" w:header="851" w:footer="992" w:gutter="0"/>
          <w:docGrid w:linePitch="312" w:charSpace="0"/>
        </w:sect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jc w:val="center"/>
        <w:rPr>
          <w:rFonts w:ascii="黑体" w:eastAsia="黑体" w:cs="黑体"/>
          <w:color w:val="FF0000"/>
          <w:kern w:val="0"/>
          <w:sz w:val="52"/>
          <w:szCs w:val="52"/>
        </w:rPr>
      </w:pPr>
    </w:p>
    <w:p>
      <w:pPr>
        <w:autoSpaceDN w:val="0"/>
        <w:spacing w:line="560" w:lineRule="exact"/>
        <w:jc w:val="center"/>
        <w:rPr>
          <w:rFonts w:ascii="黑体" w:eastAsia="黑体" w:cs="黑体"/>
          <w:color w:val="FF0000"/>
          <w:kern w:val="0"/>
          <w:sz w:val="52"/>
          <w:szCs w:val="52"/>
        </w:rPr>
      </w:pPr>
    </w:p>
    <w:p>
      <w:pPr>
        <w:autoSpaceDN w:val="0"/>
        <w:spacing w:line="560" w:lineRule="exact"/>
        <w:ind w:firstLineChars="200" w:firstLine="1040"/>
        <w:jc w:val="center"/>
        <w:rPr>
          <w:rFonts w:ascii="方正黑体_GBK" w:eastAsia="方正黑体_GBK" w:cs="黑体"/>
          <w:kern w:val="0"/>
          <w:sz w:val="52"/>
          <w:szCs w:val="52"/>
        </w:rPr>
      </w:pPr>
      <w:r>
        <w:rPr>
          <w:rFonts w:ascii="方正黑体_GBK" w:eastAsia="方正黑体_GBK" w:cs="黑体" w:hint="eastAsia"/>
          <w:kern w:val="0"/>
          <w:sz w:val="52"/>
          <w:szCs w:val="52"/>
        </w:rPr>
        <w:t>第三部分</w:t>
      </w:r>
    </w:p>
    <w:p>
      <w:pPr>
        <w:autoSpaceDN w:val="0"/>
        <w:spacing w:line="560" w:lineRule="exact"/>
        <w:ind w:firstLineChars="200" w:firstLine="1040"/>
        <w:jc w:val="center"/>
        <w:rPr>
          <w:rFonts w:ascii="方正黑体_GBK" w:eastAsia="方正黑体_GBK" w:cs="黑体"/>
          <w:kern w:val="0"/>
          <w:sz w:val="52"/>
          <w:szCs w:val="52"/>
        </w:rPr>
      </w:pPr>
    </w:p>
    <w:p>
      <w:pPr>
        <w:autoSpaceDN w:val="0"/>
        <w:spacing w:line="560" w:lineRule="exact"/>
        <w:ind w:firstLineChars="200" w:firstLine="1040"/>
        <w:jc w:val="center"/>
        <w:rPr>
          <w:rFonts w:ascii="方正黑体_GBK" w:eastAsia="方正黑体_GBK"/>
          <w:sz w:val="52"/>
          <w:szCs w:val="52"/>
        </w:rPr>
      </w:pPr>
      <w:r>
        <w:rPr>
          <w:rFonts w:ascii="方正黑体_GBK" w:eastAsia="方正黑体_GBK" w:cs="黑体" w:hint="eastAsia"/>
          <w:kern w:val="0"/>
          <w:sz w:val="52"/>
          <w:szCs w:val="52"/>
        </w:rPr>
        <w:t>2025年度部门决算表情况说明</w:t>
      </w:r>
    </w:p>
    <w:p>
      <w:pPr>
        <w:autoSpaceDN w:val="0"/>
        <w:spacing w:line="560" w:lineRule="exact"/>
        <w:ind w:firstLineChars="300" w:firstLine="630"/>
        <w:jc w:val="center"/>
      </w:pPr>
    </w:p>
    <w:p>
      <w:pPr>
        <w:autoSpaceDN w:val="0"/>
        <w:spacing w:line="560" w:lineRule="exact"/>
        <w:ind w:firstLineChars="300" w:firstLine="630"/>
        <w:jc w:val="cente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autoSpaceDN w:val="0"/>
        <w:spacing w:line="560" w:lineRule="exact"/>
        <w:ind w:firstLineChars="300" w:firstLine="630"/>
        <w:rPr>
          <w:color w:val="FF0000"/>
        </w:rPr>
      </w:pPr>
    </w:p>
    <w:p>
      <w:pPr>
        <w:widowControl/>
        <w:autoSpaceDN w:val="0"/>
        <w:jc w:val="left"/>
        <w:rPr>
          <w:rFonts w:eastAsia="方正黑体_GBK" w:cs="Arial"/>
          <w:color w:val="FF0000"/>
          <w:kern w:val="0"/>
          <w:sz w:val="32"/>
          <w:szCs w:val="32"/>
        </w:rPr>
      </w:pP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一、收入支出决算总体情况说明</w:t>
      </w:r>
    </w:p>
    <w:p>
      <w:pPr>
        <w:autoSpaceDN w:val="0"/>
        <w:spacing w:line="560" w:lineRule="exact"/>
        <w:ind w:firstLineChars="200" w:firstLine="640"/>
      </w:pPr>
      <w:r>
        <w:rPr>
          <w:rFonts w:eastAsia="方正仿宋_GBK" w:hint="eastAsia"/>
          <w:sz w:val="32"/>
          <w:szCs w:val="32"/>
        </w:rPr>
        <w:t>2025年度收、支总计</w:t>
      </w:r>
      <w:r>
        <w:rPr>
          <w:rFonts w:eastAsia="方正仿宋_GBK"/>
          <w:sz w:val="32"/>
          <w:szCs w:val="32"/>
        </w:rPr>
        <w:t>4766.06</w:t>
      </w:r>
      <w:r>
        <w:rPr>
          <w:rFonts w:eastAsia="方正仿宋_GBK" w:hint="eastAsia"/>
          <w:sz w:val="32"/>
          <w:szCs w:val="32"/>
        </w:rPr>
        <w:t>万元。与2024年度相比，收、支总计各</w:t>
      </w:r>
      <w:r>
        <w:rPr>
          <w:rFonts w:eastAsia="方正仿宋_GBK"/>
          <w:sz w:val="32"/>
          <w:szCs w:val="32"/>
        </w:rPr>
        <w:t>增加17.35</w:t>
      </w:r>
      <w:r>
        <w:rPr>
          <w:rFonts w:eastAsia="方正仿宋_GBK" w:hint="eastAsia"/>
          <w:sz w:val="32"/>
          <w:szCs w:val="32"/>
        </w:rPr>
        <w:t>万元，</w:t>
      </w:r>
      <w:r>
        <w:rPr>
          <w:rFonts w:eastAsia="方正仿宋_GBK"/>
          <w:sz w:val="32"/>
          <w:szCs w:val="32"/>
        </w:rPr>
        <w:t>增长0</w:t>
      </w:r>
      <w:r>
        <w:rPr>
          <w:rFonts w:eastAsia="方正仿宋_GBK" w:hint="eastAsia"/>
          <w:sz w:val="32"/>
          <w:szCs w:val="32"/>
        </w:rPr>
        <w:t>.</w:t>
      </w:r>
      <w:r>
        <w:rPr>
          <w:rFonts w:eastAsia="方正仿宋_GBK"/>
          <w:sz w:val="32"/>
          <w:szCs w:val="32"/>
        </w:rPr>
        <w:t>4</w:t>
      </w:r>
      <w:r>
        <w:rPr>
          <w:rFonts w:eastAsia="方正仿宋_GBK" w:hint="eastAsia"/>
          <w:sz w:val="32"/>
          <w:szCs w:val="32"/>
        </w:rPr>
        <w:t>%，主要原因：一是其他</w:t>
      </w:r>
      <w:r>
        <w:rPr>
          <w:rFonts w:eastAsia="方正仿宋_GBK"/>
          <w:sz w:val="32"/>
          <w:szCs w:val="32"/>
        </w:rPr>
        <w:t>收入增加</w:t>
      </w:r>
      <w:r>
        <w:rPr>
          <w:rFonts w:eastAsia="方正仿宋_GBK" w:hint="eastAsia"/>
          <w:sz w:val="32"/>
          <w:szCs w:val="32"/>
        </w:rPr>
        <w:t>；二是住房保障</w:t>
      </w:r>
      <w:r>
        <w:rPr>
          <w:rFonts w:eastAsia="方正仿宋_GBK"/>
          <w:sz w:val="32"/>
          <w:szCs w:val="32"/>
        </w:rPr>
        <w:t>支出增加</w:t>
      </w:r>
      <w:r>
        <w:rPr>
          <w:rFonts w:eastAsia="方正仿宋_GBK" w:hint="eastAsia"/>
          <w:sz w:val="32"/>
          <w:szCs w:val="32"/>
        </w:rPr>
        <w:t>。</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图1：收、支决算总计变动情况</w:t>
      </w:r>
    </w:p>
    <w:p>
      <w:pPr>
        <w:autoSpaceDN w:val="0"/>
        <w:spacing w:line="560" w:lineRule="exact"/>
        <w:jc w:val="center"/>
        <w:rPr>
          <w:rFonts w:eastAsia="方正楷体_GBK"/>
          <w:b/>
          <w:bCs/>
          <w:sz w:val="32"/>
          <w:szCs w:val="32"/>
        </w:rPr>
      </w:pPr>
      <w:r>
        <w:rPr>
          <w:rFonts w:eastAsia="方正楷体_GBK" w:hint="eastAsia"/>
          <w:b/>
          <w:bCs/>
          <w:sz w:val="32"/>
          <w:szCs w:val="32"/>
        </w:rPr>
        <w:t>（单位：万元）</w:t>
      </w:r>
    </w:p>
    <w:p>
      <w:pPr>
        <w:autoSpaceDN w:val="0"/>
        <w:spacing w:line="560" w:lineRule="exact"/>
        <w:jc w:val="center"/>
        <w:rPr>
          <w:rFonts w:eastAsia="方正楷体_GBK"/>
          <w:b/>
          <w:bCs/>
          <w:color w:val="FF0000"/>
          <w:sz w:val="32"/>
          <w:szCs w:val="32"/>
        </w:rPr>
      </w:pPr>
    </w:p>
    <w:p>
      <w:pPr>
        <w:autoSpaceDN w:val="0"/>
        <w:spacing w:line="560" w:lineRule="exact"/>
        <w:rPr>
          <w:rFonts w:eastAsia="方正楷体_GBK"/>
          <w:b/>
          <w:bCs/>
          <w:color w:val="FF0000"/>
          <w:sz w:val="32"/>
          <w:szCs w:val="32"/>
        </w:rPr>
      </w:pPr>
      <w:r>
        <w:rPr>
          <w:rFonts w:eastAsia="方正楷体_GBK"/>
          <w:b/>
          <w:bCs/>
          <w:color w:val="FF0000"/>
          <w:sz w:val="32"/>
          <w:szCs w:val="32"/>
        </w:rPr>
        <w:drawing>
          <wp:anchor distT="0" distB="0" distL="85723" distR="85723" simplePos="0" relativeHeight="24" behindDoc="0" locked="0" layoutInCell="1" hidden="0" allowOverlap="1">
            <wp:simplePos x="0" y="0"/>
            <wp:positionH relativeFrom="margin">
              <wp:align>center</wp:align>
            </wp:positionH>
            <wp:positionV relativeFrom="paragraph">
              <wp:posOffset>203200</wp:posOffset>
            </wp:positionV>
            <wp:extent cx="4581455" cy="2752682"/>
            <wp:effectExtent l="0" t="0" r="0" b="0"/>
            <wp:wrapNone/>
            <wp:docPr id="1" name="图片"/>
            <wp:cNvGraphicFramePr>
              <a:graphicFrameLocks noChangeAspect="1"/>
            </wp:cNvGraphicFramePr>
            <a:graphic>
              <a:graphicData uri="http://schemas.openxmlformats.org/drawingml/2006/picture">
                <pic:pic>
                  <pic:nvPicPr>
                    <pic:cNvPr id="3" name="图片 3"/>
                    <pic:cNvPicPr/>
                  </pic:nvPicPr>
                  <pic:blipFill>
                    <a:blip r:embed="rId4"/>
                    <a:stretch>
                      <a:fillRect/>
                    </a:stretch>
                  </pic:blipFill>
                  <pic:spPr>
                    <a:xfrm rot="0">
                      <a:off x="0" y="0"/>
                      <a:ext cx="4581455" cy="2752682"/>
                    </a:xfrm>
                    <a:prstGeom prst="rect"/>
                    <a:noFill/>
                    <a:ln w="9525" cmpd="sng" cap="flat">
                      <a:noFill/>
                      <a:prstDash val="solid"/>
                      <a:miter/>
                    </a:ln>
                  </pic:spPr>
                </pic:pic>
              </a:graphicData>
            </a:graphic>
          </wp:anchor>
        </w:drawing>
      </w:r>
    </w:p>
    <w:p>
      <w:pPr>
        <w:autoSpaceDN w:val="0"/>
        <w:spacing w:line="560" w:lineRule="exact"/>
        <w:jc w:val="center"/>
        <w:rPr>
          <w:rFonts w:eastAsia="方正楷体_GBK"/>
          <w:b/>
          <w:bCs/>
          <w:color w:val="FF0000"/>
          <w:sz w:val="32"/>
          <w:szCs w:val="32"/>
        </w:rPr>
      </w:pPr>
    </w:p>
    <w:p>
      <w:pPr>
        <w:autoSpaceDN w:val="0"/>
        <w:spacing w:line="560" w:lineRule="exact"/>
        <w:rPr>
          <w:rFonts w:eastAsia="方正楷体_GBK"/>
          <w:b/>
          <w:bCs/>
          <w:color w:val="FF0000"/>
          <w:sz w:val="32"/>
          <w:szCs w:val="32"/>
        </w:rPr>
      </w:pPr>
    </w:p>
    <w:p>
      <w:pPr>
        <w:autoSpaceDN w:val="0"/>
        <w:spacing w:line="560" w:lineRule="exact"/>
        <w:ind w:firstLineChars="200" w:firstLine="640"/>
        <w:jc w:val="center"/>
        <w:rPr>
          <w:rFonts w:eastAsia="方正楷体_GBK"/>
          <w:b/>
          <w:bCs/>
          <w:color w:val="FF0000"/>
          <w:sz w:val="32"/>
          <w:szCs w:val="32"/>
        </w:rPr>
      </w:pPr>
    </w:p>
    <w:p>
      <w:pPr>
        <w:autoSpaceDN w:val="0"/>
        <w:spacing w:line="560" w:lineRule="exact"/>
        <w:rPr>
          <w:rFonts w:eastAsia="方正楷体_GBK"/>
          <w:b/>
          <w:bCs/>
          <w:color w:val="FF0000"/>
          <w:sz w:val="32"/>
          <w:szCs w:val="32"/>
        </w:rPr>
      </w:pPr>
    </w:p>
    <w:p>
      <w:pPr>
        <w:tabs>
          <w:tab w:val="left" w:pos="5007"/>
        </w:tabs>
        <w:autoSpaceDN w:val="0"/>
        <w:spacing w:line="560" w:lineRule="exact"/>
        <w:jc w:val="left"/>
        <w:rPr>
          <w:rFonts w:eastAsia="方正楷体_GBK"/>
          <w:b/>
          <w:bCs/>
          <w:color w:val="FF0000"/>
          <w:sz w:val="32"/>
          <w:szCs w:val="32"/>
        </w:rPr>
      </w:pPr>
      <w:r>
        <w:rPr>
          <w:rFonts w:eastAsia="方正楷体_GBK"/>
          <w:b/>
          <w:bCs/>
          <w:color w:val="FF0000"/>
          <w:sz w:val="32"/>
          <w:szCs w:val="32"/>
        </w:rPr>
        <w:tab/>
      </w:r>
    </w:p>
    <w:p>
      <w:pPr>
        <w:autoSpaceDN w:val="0"/>
        <w:spacing w:line="560" w:lineRule="exact"/>
        <w:ind w:firstLineChars="200" w:firstLine="640"/>
        <w:jc w:val="center"/>
        <w:rPr>
          <w:rFonts w:eastAsia="方正楷体_GBK"/>
          <w:b/>
          <w:bCs/>
          <w:color w:val="FF0000"/>
          <w:sz w:val="32"/>
          <w:szCs w:val="32"/>
        </w:rPr>
      </w:pPr>
    </w:p>
    <w:p>
      <w:pPr>
        <w:autoSpaceDN w:val="0"/>
        <w:spacing w:line="560" w:lineRule="exact"/>
        <w:ind w:firstLineChars="200" w:firstLine="640"/>
        <w:jc w:val="center"/>
        <w:rPr>
          <w:rFonts w:eastAsia="方正楷体_GBK"/>
          <w:b/>
          <w:bCs/>
          <w:color w:val="FF0000"/>
          <w:sz w:val="32"/>
          <w:szCs w:val="32"/>
        </w:rPr>
      </w:pPr>
    </w:p>
    <w:p>
      <w:pPr>
        <w:autoSpaceDN w:val="0"/>
        <w:spacing w:line="560" w:lineRule="exact"/>
        <w:ind w:firstLineChars="200" w:firstLine="640"/>
        <w:rPr>
          <w:rFonts w:eastAsia="方正楷体_GBK"/>
          <w:b/>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二、收入决算情况说明</w:t>
      </w:r>
    </w:p>
    <w:p>
      <w:pPr>
        <w:spacing w:line="560" w:lineRule="exact"/>
        <w:ind w:firstLineChars="200" w:firstLine="640"/>
        <w:rPr>
          <w:rFonts w:cs="宋体"/>
          <w:kern w:val="0"/>
          <w:sz w:val="22"/>
          <w:szCs w:val="22"/>
        </w:rPr>
      </w:pPr>
      <w:r>
        <w:rPr>
          <w:rFonts w:eastAsia="方正仿宋_GBK"/>
          <w:sz w:val="32"/>
          <w:szCs w:val="32"/>
        </w:rPr>
        <w:t>2025年度</w:t>
      </w:r>
      <w:r>
        <w:rPr>
          <w:rFonts w:eastAsia="方正仿宋_GBK" w:hint="eastAsia"/>
          <w:sz w:val="32"/>
          <w:szCs w:val="32"/>
        </w:rPr>
        <w:t>收入</w:t>
      </w:r>
      <w:r>
        <w:rPr>
          <w:rFonts w:eastAsia="方正仿宋_GBK"/>
          <w:sz w:val="32"/>
          <w:szCs w:val="32"/>
        </w:rPr>
        <w:t>合</w:t>
      </w:r>
      <w:r>
        <w:rPr>
          <w:rFonts w:eastAsia="方正仿宋_GBK" w:hint="eastAsia"/>
          <w:sz w:val="32"/>
          <w:szCs w:val="32"/>
        </w:rPr>
        <w:t>计4094.05万元。其中：</w:t>
      </w:r>
      <w:r>
        <w:rPr>
          <w:rFonts w:eastAsia="方正仿宋_GBK"/>
          <w:sz w:val="32"/>
          <w:szCs w:val="32"/>
        </w:rPr>
        <w:t>一般公共预算</w:t>
      </w:r>
      <w:r>
        <w:rPr>
          <w:rFonts w:eastAsia="方正仿宋_GBK" w:hint="eastAsia"/>
          <w:sz w:val="32"/>
          <w:szCs w:val="32"/>
        </w:rPr>
        <w:t>财政拨款收入2053.8万元，占50.</w:t>
      </w:r>
      <w:r>
        <w:rPr>
          <w:rFonts w:eastAsia="方正仿宋_GBK"/>
          <w:sz w:val="32"/>
          <w:szCs w:val="32"/>
        </w:rPr>
        <w:t>2</w:t>
      </w:r>
      <w:r>
        <w:rPr>
          <w:rFonts w:eastAsia="方正仿宋_GBK" w:hint="eastAsia"/>
          <w:sz w:val="32"/>
          <w:szCs w:val="32"/>
        </w:rPr>
        <w:t>%；事业收入181.89万元，占4.</w:t>
      </w:r>
      <w:r>
        <w:rPr>
          <w:rFonts w:eastAsia="方正仿宋_GBK"/>
          <w:sz w:val="32"/>
          <w:szCs w:val="32"/>
        </w:rPr>
        <w:t>4</w:t>
      </w:r>
      <w:r>
        <w:rPr>
          <w:rFonts w:eastAsia="方正仿宋_GBK" w:hint="eastAsia"/>
          <w:sz w:val="32"/>
          <w:szCs w:val="32"/>
        </w:rPr>
        <w:t>%；其他收入</w:t>
      </w:r>
      <w:r>
        <w:rPr>
          <w:rFonts w:eastAsia="方正仿宋_GBK"/>
          <w:sz w:val="32"/>
          <w:szCs w:val="32"/>
        </w:rPr>
        <w:t>1</w:t>
      </w:r>
      <w:r>
        <w:rPr>
          <w:rFonts w:eastAsia="方正仿宋_GBK" w:hint="eastAsia"/>
          <w:sz w:val="32"/>
          <w:szCs w:val="32"/>
        </w:rPr>
        <w:t>858.36万元，占45.</w:t>
      </w:r>
      <w:r>
        <w:rPr>
          <w:rFonts w:eastAsia="方正仿宋_GBK"/>
          <w:sz w:val="32"/>
          <w:szCs w:val="32"/>
        </w:rPr>
        <w:t>4</w:t>
      </w:r>
      <w:r>
        <w:rPr>
          <w:rFonts w:eastAsia="方正仿宋_GBK" w:hint="eastAsia"/>
          <w:sz w:val="32"/>
          <w:szCs w:val="32"/>
        </w:rPr>
        <w:t>%。</w:t>
      </w:r>
    </w:p>
    <w:p>
      <w:pPr>
        <w:autoSpaceDN w:val="0"/>
        <w:spacing w:line="560" w:lineRule="exact"/>
        <w:rPr>
          <w:rFonts w:eastAsia="方正楷体_GBK"/>
          <w:b/>
          <w:bCs/>
          <w:sz w:val="32"/>
          <w:szCs w:val="32"/>
        </w:rPr>
      </w:pPr>
    </w:p>
    <w:p>
      <w:pPr>
        <w:autoSpaceDN w:val="0"/>
        <w:spacing w:line="560" w:lineRule="exact"/>
        <w:rPr>
          <w:rFonts w:eastAsia="方正楷体_GBK"/>
          <w:b/>
          <w:bCs/>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图2：收入决算结构</w:t>
      </w:r>
    </w:p>
    <w:p>
      <w:pPr>
        <w:autoSpaceDN w:val="0"/>
        <w:spacing w:line="560" w:lineRule="exact"/>
        <w:rPr>
          <w:rFonts w:eastAsia="方正仿宋_GBK"/>
          <w:color w:val="FF0000"/>
          <w:spacing w:val="-6"/>
          <w:sz w:val="32"/>
          <w:szCs w:val="32"/>
        </w:rPr>
      </w:pPr>
    </w:p>
    <w:p>
      <w:pPr>
        <w:autoSpaceDN w:val="0"/>
        <w:spacing w:line="560" w:lineRule="exact"/>
        <w:ind w:firstLineChars="200" w:firstLine="616"/>
        <w:rPr>
          <w:rFonts w:eastAsia="方正仿宋_GBK"/>
          <w:color w:val="FF0000"/>
          <w:spacing w:val="-6"/>
          <w:sz w:val="32"/>
          <w:szCs w:val="32"/>
        </w:rPr>
      </w:pPr>
      <w:r>
        <w:rPr>
          <w:rFonts w:eastAsia="方正仿宋_GBK" w:hint="eastAsia"/>
          <w:color w:val="FF0000"/>
          <w:spacing w:val="-6"/>
          <w:sz w:val="32"/>
          <w:szCs w:val="32"/>
        </w:rPr>
        <w:drawing>
          <wp:anchor distT="0" distB="0" distL="114300" distR="114300" simplePos="0" relativeHeight="25" behindDoc="0" locked="0" layoutInCell="1" hidden="0" allowOverlap="1">
            <wp:simplePos x="0" y="0"/>
            <wp:positionH relativeFrom="margin">
              <wp:align>center</wp:align>
            </wp:positionH>
            <wp:positionV relativeFrom="paragraph">
              <wp:posOffset>231775</wp:posOffset>
            </wp:positionV>
            <wp:extent cx="4593590" cy="2753360"/>
            <wp:effectExtent l="0" t="0" r="0" b="0"/>
            <wp:wrapNone/>
            <wp:docPr id="4" name="图片 1" descr="22.jpg"/>
            <wp:cNvGraphicFramePr>
              <a:graphicFrameLocks noChangeAspect="1"/>
            </wp:cNvGraphicFramePr>
            <a:graphic>
              <a:graphicData uri="http://schemas.openxmlformats.org/drawingml/2006/picture">
                <pic:pic>
                  <pic:nvPicPr>
                    <pic:cNvPr id="6" name="图片 1 6"/>
                    <pic:cNvPicPr/>
                  </pic:nvPicPr>
                  <pic:blipFill>
                    <a:blip r:embed="rId5"/>
                    <a:stretch>
                      <a:fillRect/>
                    </a:stretch>
                  </pic:blipFill>
                  <pic:spPr>
                    <a:xfrm rot="0">
                      <a:off x="0" y="0"/>
                      <a:ext cx="4593590" cy="2753360"/>
                    </a:xfrm>
                    <a:prstGeom prst="rect"/>
                    <a:noFill/>
                    <a:ln w="9525" cmpd="sng" cap="flat">
                      <a:noFill/>
                      <a:prstDash val="solid"/>
                      <a:miter/>
                    </a:ln>
                  </pic:spPr>
                </pic:pic>
              </a:graphicData>
            </a:graphic>
          </wp:anchor>
        </w:drawing>
      </w:r>
      <w:r>
        <w:rPr>
          <w:rFonts w:eastAsia="方正仿宋_GBK" w:hint="eastAsia"/>
          <w:color w:val="FF0000"/>
          <w:spacing w:val="-6"/>
          <w:sz w:val="32"/>
          <w:szCs w:val="32"/>
        </w:rPr>
        <w:t xml:space="preserve">    </w:t>
      </w:r>
    </w:p>
    <w:p>
      <w:pPr>
        <w:autoSpaceDN w:val="0"/>
        <w:spacing w:line="560" w:lineRule="exact"/>
        <w:ind w:firstLineChars="200" w:firstLine="616"/>
        <w:rPr>
          <w:rFonts w:eastAsia="方正仿宋_GBK"/>
          <w:color w:val="FF0000"/>
          <w:spacing w:val="-6"/>
          <w:sz w:val="32"/>
          <w:szCs w:val="32"/>
        </w:rPr>
      </w:pPr>
    </w:p>
    <w:p>
      <w:pPr>
        <w:autoSpaceDN w:val="0"/>
        <w:spacing w:line="560" w:lineRule="exact"/>
        <w:ind w:firstLineChars="200" w:firstLine="616"/>
        <w:rPr>
          <w:rFonts w:eastAsia="方正仿宋_GBK"/>
          <w:color w:val="FF0000"/>
          <w:spacing w:val="-6"/>
          <w:sz w:val="32"/>
          <w:szCs w:val="32"/>
        </w:rPr>
      </w:pPr>
    </w:p>
    <w:p>
      <w:pPr>
        <w:autoSpaceDN w:val="0"/>
        <w:spacing w:line="560" w:lineRule="exact"/>
        <w:ind w:firstLineChars="200" w:firstLine="616"/>
        <w:rPr>
          <w:rFonts w:eastAsia="方正仿宋_GBK"/>
          <w:color w:val="FF0000"/>
          <w:spacing w:val="-6"/>
          <w:sz w:val="32"/>
          <w:szCs w:val="32"/>
        </w:rPr>
      </w:pPr>
    </w:p>
    <w:p>
      <w:pPr>
        <w:autoSpaceDN w:val="0"/>
        <w:spacing w:line="560" w:lineRule="exact"/>
        <w:ind w:firstLineChars="200" w:firstLine="616"/>
        <w:rPr>
          <w:rFonts w:eastAsia="方正仿宋_GBK"/>
          <w:color w:val="FF0000"/>
          <w:spacing w:val="-6"/>
          <w:sz w:val="32"/>
          <w:szCs w:val="32"/>
        </w:rPr>
      </w:pPr>
    </w:p>
    <w:p>
      <w:pPr>
        <w:autoSpaceDN w:val="0"/>
        <w:spacing w:line="560" w:lineRule="exact"/>
        <w:ind w:firstLineChars="354" w:firstLine="1090"/>
        <w:rPr>
          <w:rFonts w:eastAsia="方正仿宋_GBK"/>
          <w:color w:val="FF0000"/>
          <w:spacing w:val="-6"/>
          <w:sz w:val="32"/>
          <w:szCs w:val="32"/>
        </w:rPr>
      </w:pPr>
    </w:p>
    <w:p>
      <w:pPr>
        <w:autoSpaceDN w:val="0"/>
        <w:spacing w:line="560" w:lineRule="exact"/>
        <w:ind w:firstLineChars="200" w:firstLine="640"/>
        <w:rPr>
          <w:rFonts w:eastAsia="方正楷体_GBK"/>
          <w:b/>
          <w:bCs/>
          <w:color w:val="FF0000"/>
          <w:sz w:val="32"/>
          <w:szCs w:val="32"/>
        </w:rPr>
      </w:pPr>
    </w:p>
    <w:p>
      <w:pPr>
        <w:autoSpaceDN w:val="0"/>
        <w:spacing w:line="560" w:lineRule="exact"/>
        <w:ind w:firstLine="645"/>
        <w:rPr>
          <w:rFonts w:eastAsia="方正楷体_GBK"/>
          <w:b/>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三、支出决算情况说明</w:t>
      </w:r>
    </w:p>
    <w:p>
      <w:pPr>
        <w:spacing w:line="560" w:lineRule="exact"/>
        <w:ind w:firstLineChars="200" w:firstLine="640"/>
        <w:rPr>
          <w:rFonts w:eastAsia="方正仿宋_GBK"/>
          <w:sz w:val="32"/>
          <w:szCs w:val="32"/>
        </w:rPr>
      </w:pPr>
      <w:r>
        <w:rPr>
          <w:rFonts w:eastAsia="方正仿宋_GBK"/>
          <w:sz w:val="32"/>
          <w:szCs w:val="32"/>
        </w:rPr>
        <w:t>2025年</w:t>
      </w:r>
      <w:r>
        <w:rPr>
          <w:rFonts w:eastAsia="方正仿宋_GBK" w:hint="eastAsia"/>
          <w:sz w:val="32"/>
          <w:szCs w:val="32"/>
        </w:rPr>
        <w:t>度支出合计</w:t>
      </w:r>
      <w:r>
        <w:rPr>
          <w:rFonts w:eastAsia="方正仿宋_GBK"/>
          <w:sz w:val="32"/>
          <w:szCs w:val="32"/>
        </w:rPr>
        <w:t>3</w:t>
      </w:r>
      <w:r>
        <w:rPr>
          <w:rFonts w:eastAsia="方正仿宋_GBK" w:hint="eastAsia"/>
          <w:sz w:val="32"/>
          <w:szCs w:val="32"/>
        </w:rPr>
        <w:t>730.34万元，其中：基本支出</w:t>
      </w:r>
      <w:r>
        <w:rPr>
          <w:rFonts w:eastAsia="方正仿宋_GBK"/>
          <w:sz w:val="32"/>
          <w:szCs w:val="32"/>
        </w:rPr>
        <w:t>3</w:t>
      </w:r>
      <w:r>
        <w:rPr>
          <w:rFonts w:eastAsia="方正仿宋_GBK" w:hint="eastAsia"/>
          <w:sz w:val="32"/>
          <w:szCs w:val="32"/>
        </w:rPr>
        <w:t>239.6万元，占</w:t>
      </w:r>
      <w:r>
        <w:rPr>
          <w:rFonts w:eastAsia="方正仿宋_GBK"/>
          <w:sz w:val="32"/>
          <w:szCs w:val="32"/>
        </w:rPr>
        <w:t>8</w:t>
      </w:r>
      <w:r>
        <w:rPr>
          <w:rFonts w:eastAsia="方正仿宋_GBK" w:hint="eastAsia"/>
          <w:sz w:val="32"/>
          <w:szCs w:val="32"/>
        </w:rPr>
        <w:t>6.</w:t>
      </w:r>
      <w:r>
        <w:rPr>
          <w:rFonts w:eastAsia="方正仿宋_GBK"/>
          <w:sz w:val="32"/>
          <w:szCs w:val="32"/>
        </w:rPr>
        <w:t>8</w:t>
      </w:r>
      <w:r>
        <w:rPr>
          <w:rFonts w:eastAsia="方正仿宋_GBK" w:hint="eastAsia"/>
          <w:sz w:val="32"/>
          <w:szCs w:val="32"/>
        </w:rPr>
        <w:t>%；项目支出</w:t>
      </w:r>
      <w:r>
        <w:rPr>
          <w:rFonts w:eastAsia="方正仿宋_GBK"/>
          <w:sz w:val="32"/>
          <w:szCs w:val="32"/>
        </w:rPr>
        <w:t>4</w:t>
      </w:r>
      <w:r>
        <w:rPr>
          <w:rFonts w:eastAsia="方正仿宋_GBK" w:hint="eastAsia"/>
          <w:sz w:val="32"/>
          <w:szCs w:val="32"/>
        </w:rPr>
        <w:t>90.74</w:t>
      </w:r>
      <w:r>
        <w:rPr>
          <w:rFonts w:eastAsia="方正仿宋_GBK"/>
          <w:sz w:val="32"/>
          <w:szCs w:val="32"/>
        </w:rPr>
        <w:t>万</w:t>
      </w:r>
      <w:r>
        <w:rPr>
          <w:rFonts w:eastAsia="方正仿宋_GBK" w:hint="eastAsia"/>
          <w:sz w:val="32"/>
          <w:szCs w:val="32"/>
        </w:rPr>
        <w:t>元，占13.</w:t>
      </w:r>
      <w:r>
        <w:rPr>
          <w:rFonts w:eastAsia="方正仿宋_GBK"/>
          <w:sz w:val="32"/>
          <w:szCs w:val="32"/>
        </w:rPr>
        <w:t>2</w:t>
      </w:r>
      <w:r>
        <w:rPr>
          <w:rFonts w:eastAsia="方正仿宋_GBK" w:hint="eastAsia"/>
          <w:sz w:val="32"/>
          <w:szCs w:val="32"/>
        </w:rPr>
        <w:t>%。</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图3：支出决算结构</w:t>
      </w:r>
    </w:p>
    <w:p>
      <w:pPr>
        <w:autoSpaceDN w:val="0"/>
        <w:spacing w:line="560" w:lineRule="exact"/>
        <w:jc w:val="center"/>
        <w:rPr>
          <w:rFonts w:eastAsia="方正楷体_GBK"/>
          <w:b/>
          <w:bCs/>
          <w:color w:val="FF0000"/>
          <w:sz w:val="32"/>
          <w:szCs w:val="32"/>
        </w:rPr>
      </w:pPr>
    </w:p>
    <w:p>
      <w:pPr>
        <w:autoSpaceDN w:val="0"/>
        <w:spacing w:line="560" w:lineRule="exact"/>
        <w:rPr>
          <w:rFonts w:eastAsia="方正仿宋_GBK"/>
          <w:color w:val="FF0000"/>
          <w:kern w:val="0"/>
          <w:sz w:val="32"/>
          <w:szCs w:val="32"/>
        </w:rPr>
      </w:pPr>
      <w:r>
        <w:rPr>
          <w:rFonts w:eastAsia="方正仿宋_GBK" w:hint="eastAsia"/>
          <w:color w:val="FF0000"/>
          <w:kern w:val="0"/>
          <w:sz w:val="32"/>
          <w:szCs w:val="32"/>
        </w:rPr>
        <w:drawing>
          <wp:anchor distT="0" distB="0" distL="114300" distR="114300" simplePos="0" relativeHeight="26" behindDoc="0" locked="0" layoutInCell="1" hidden="0" allowOverlap="1">
            <wp:simplePos x="0" y="0"/>
            <wp:positionH relativeFrom="margin">
              <wp:align>center</wp:align>
            </wp:positionH>
            <wp:positionV relativeFrom="paragraph">
              <wp:posOffset>236855</wp:posOffset>
            </wp:positionV>
            <wp:extent cx="4593590" cy="2753360"/>
            <wp:effectExtent l="0" t="0" r="0" b="0"/>
            <wp:wrapNone/>
            <wp:docPr id="7" name="图片 3" descr="33.jpg"/>
            <wp:cNvGraphicFramePr>
              <a:graphicFrameLocks noChangeAspect="1"/>
            </wp:cNvGraphicFramePr>
            <a:graphic>
              <a:graphicData uri="http://schemas.openxmlformats.org/drawingml/2006/picture">
                <pic:pic>
                  <pic:nvPicPr>
                    <pic:cNvPr id="9" name="图片 3 9"/>
                    <pic:cNvPicPr/>
                  </pic:nvPicPr>
                  <pic:blipFill>
                    <a:blip r:embed="rId6"/>
                    <a:stretch>
                      <a:fillRect/>
                    </a:stretch>
                  </pic:blipFill>
                  <pic:spPr>
                    <a:xfrm rot="0">
                      <a:off x="0" y="0"/>
                      <a:ext cx="4593590" cy="2753360"/>
                    </a:xfrm>
                    <a:prstGeom prst="rect"/>
                    <a:noFill/>
                    <a:ln w="9525" cmpd="sng" cap="flat">
                      <a:noFill/>
                      <a:prstDash val="solid"/>
                      <a:miter/>
                    </a:ln>
                  </pic:spPr>
                </pic:pic>
              </a:graphicData>
            </a:graphic>
          </wp:anchor>
        </w:drawing>
      </w:r>
      <w:r>
        <w:rPr>
          <w:rFonts w:eastAsia="方正仿宋_GBK" w:hint="eastAsia"/>
          <w:color w:val="FF0000"/>
          <w:kern w:val="0"/>
          <w:sz w:val="32"/>
          <w:szCs w:val="32"/>
        </w:rPr>
        <w:t xml:space="preserve">    </w:t>
      </w: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jc w:val="center"/>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rPr>
          <w:rFonts w:eastAsia="方正仿宋_GBK"/>
          <w:color w:val="FF0000"/>
          <w:kern w:val="0"/>
          <w:sz w:val="32"/>
          <w:szCs w:val="32"/>
        </w:rPr>
      </w:pPr>
    </w:p>
    <w:p>
      <w:pPr>
        <w:autoSpaceDN w:val="0"/>
        <w:spacing w:line="560" w:lineRule="exact"/>
        <w:rPr>
          <w:rFonts w:eastAsia="方正仿宋_GBK"/>
          <w:color w:val="FF0000"/>
          <w:kern w:val="0"/>
          <w:sz w:val="32"/>
          <w:szCs w:val="32"/>
        </w:rPr>
      </w:pPr>
      <w:r>
        <w:rPr>
          <w:rFonts w:eastAsia="方正仿宋_GBK" w:hint="eastAsia"/>
          <w:color w:val="FF0000"/>
          <w:kern w:val="0"/>
          <w:sz w:val="32"/>
          <w:szCs w:val="32"/>
        </w:rPr>
        <w:t xml:space="preserve">    </w:t>
      </w:r>
    </w:p>
    <w:p>
      <w:pPr>
        <w:autoSpaceDN w:val="0"/>
        <w:spacing w:line="560" w:lineRule="exact"/>
        <w:rPr>
          <w:rFonts w:eastAsia="方正仿宋_GBK"/>
          <w:color w:val="FF0000"/>
          <w:kern w:val="0"/>
          <w:sz w:val="32"/>
          <w:szCs w:val="32"/>
        </w:rPr>
      </w:pPr>
      <w:r>
        <w:rPr>
          <w:rFonts w:eastAsia="方正仿宋_GBK" w:hint="eastAsia"/>
          <w:color w:val="FF0000"/>
          <w:kern w:val="0"/>
          <w:sz w:val="32"/>
          <w:szCs w:val="32"/>
        </w:rPr>
        <w:t xml:space="preserve">    </w:t>
      </w: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四、财政拨款收入支出决算总体情况说明</w:t>
      </w:r>
    </w:p>
    <w:p>
      <w:pPr>
        <w:spacing w:line="560" w:lineRule="exact"/>
        <w:ind w:firstLineChars="200" w:firstLine="640"/>
        <w:rPr>
          <w:rFonts w:eastAsia="方正仿宋_GBK"/>
          <w:sz w:val="32"/>
          <w:szCs w:val="32"/>
        </w:rPr>
      </w:pPr>
      <w:r>
        <w:rPr>
          <w:rFonts w:eastAsia="方正仿宋_GBK" w:hint="eastAsia"/>
          <w:sz w:val="32"/>
          <w:szCs w:val="32"/>
        </w:rPr>
        <w:t>2025年度财政拨款收、支总计2203.76万元。与2024年度相比，财政拨款收、支总计各减少</w:t>
      </w:r>
      <w:r>
        <w:rPr>
          <w:rFonts w:eastAsia="方正仿宋_GBK" w:cs="宋体" w:hint="eastAsia"/>
          <w:kern w:val="0"/>
          <w:sz w:val="32"/>
          <w:szCs w:val="32"/>
        </w:rPr>
        <w:t>65.59</w:t>
      </w:r>
      <w:r>
        <w:rPr>
          <w:rFonts w:eastAsia="方正仿宋_GBK" w:hint="eastAsia"/>
          <w:sz w:val="32"/>
          <w:szCs w:val="32"/>
        </w:rPr>
        <w:t>万元，下降2.8%，主要原因：</w:t>
      </w:r>
      <w:r>
        <w:rPr>
          <w:rFonts w:eastAsia="方正仿宋_GBK"/>
          <w:sz w:val="32"/>
          <w:szCs w:val="32"/>
        </w:rPr>
        <w:t>本年</w:t>
      </w:r>
      <w:r>
        <w:rPr>
          <w:rFonts w:eastAsia="方正仿宋_GBK" w:hint="eastAsia"/>
          <w:sz w:val="32"/>
          <w:szCs w:val="32"/>
        </w:rPr>
        <w:t>削减</w:t>
      </w:r>
      <w:r>
        <w:rPr>
          <w:rFonts w:eastAsia="方正仿宋_GBK"/>
          <w:sz w:val="32"/>
          <w:szCs w:val="32"/>
        </w:rPr>
        <w:t>政府性基金预算财政拨款</w:t>
      </w:r>
      <w:r>
        <w:rPr>
          <w:rFonts w:eastAsia="方正仿宋_GBK" w:hint="eastAsia"/>
          <w:sz w:val="32"/>
          <w:szCs w:val="32"/>
        </w:rPr>
        <w:t>。</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图4：财政拨款收、支决算总计变动情况</w:t>
      </w:r>
    </w:p>
    <w:p>
      <w:pPr>
        <w:autoSpaceDN w:val="0"/>
        <w:spacing w:line="560" w:lineRule="exact"/>
        <w:jc w:val="center"/>
        <w:rPr>
          <w:rFonts w:eastAsia="方正楷体_GBK"/>
          <w:b/>
          <w:bCs/>
          <w:sz w:val="32"/>
          <w:szCs w:val="32"/>
        </w:rPr>
      </w:pPr>
      <w:r>
        <w:rPr>
          <w:rFonts w:eastAsia="方正楷体_GBK" w:hint="eastAsia"/>
          <w:b/>
          <w:bCs/>
          <w:sz w:val="32"/>
          <w:szCs w:val="32"/>
        </w:rPr>
        <w:t>（单位：万元）</w:t>
      </w:r>
    </w:p>
    <w:p>
      <w:pPr>
        <w:autoSpaceDN w:val="0"/>
        <w:spacing w:line="560" w:lineRule="exact"/>
        <w:jc w:val="center"/>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r>
        <w:rPr>
          <w:rFonts w:eastAsia="方正仿宋_GBK"/>
          <w:color w:val="FF0000"/>
          <w:sz w:val="32"/>
          <w:szCs w:val="32"/>
        </w:rPr>
        <w:drawing>
          <wp:anchor distT="0" distB="0" distL="114300" distR="114300" simplePos="0" relativeHeight="28" behindDoc="0" locked="0" layoutInCell="1" hidden="0" allowOverlap="1">
            <wp:simplePos x="0" y="0"/>
            <wp:positionH relativeFrom="margin">
              <wp:align>center</wp:align>
            </wp:positionH>
            <wp:positionV relativeFrom="paragraph">
              <wp:posOffset>20926</wp:posOffset>
            </wp:positionV>
            <wp:extent cx="4590400" cy="2753831"/>
            <wp:effectExtent l="0" t="0" r="0" b="0"/>
            <wp:wrapNone/>
            <wp:docPr id="10" name="图片 6" descr="44.jpg"/>
            <wp:cNvGraphicFramePr>
              <a:graphicFrameLocks noChangeAspect="1"/>
            </wp:cNvGraphicFramePr>
            <a:graphic>
              <a:graphicData uri="http://schemas.openxmlformats.org/drawingml/2006/picture">
                <pic:pic>
                  <pic:nvPicPr>
                    <pic:cNvPr id="12" name="图片 6 12"/>
                    <pic:cNvPicPr/>
                  </pic:nvPicPr>
                  <pic:blipFill>
                    <a:blip r:embed="rId7"/>
                    <a:stretch>
                      <a:fillRect/>
                    </a:stretch>
                  </pic:blipFill>
                  <pic:spPr>
                    <a:xfrm rot="0">
                      <a:off x="0" y="0"/>
                      <a:ext cx="4590400" cy="2753831"/>
                    </a:xfrm>
                    <a:prstGeom prst="rect"/>
                    <a:noFill/>
                    <a:ln w="9525" cmpd="sng" cap="flat">
                      <a:noFill/>
                      <a:prstDash val="solid"/>
                      <a:miter/>
                    </a:ln>
                  </pic:spPr>
                </pic:pic>
              </a:graphicData>
            </a:graphic>
          </wp:anchor>
        </w:drawing>
      </w: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仿宋_GBK"/>
          <w:color w:val="FF0000"/>
          <w:sz w:val="32"/>
          <w:szCs w:val="32"/>
        </w:rPr>
      </w:pPr>
    </w:p>
    <w:p>
      <w:pPr>
        <w:autoSpaceDN w:val="0"/>
        <w:spacing w:line="560" w:lineRule="exact"/>
        <w:ind w:firstLineChars="200" w:firstLine="640"/>
        <w:rPr>
          <w:rFonts w:eastAsia="方正楷体_GBK"/>
          <w:b/>
          <w:bCs/>
          <w:color w:val="FF0000"/>
          <w:sz w:val="32"/>
          <w:szCs w:val="32"/>
        </w:rPr>
      </w:pPr>
    </w:p>
    <w:p>
      <w:pPr>
        <w:autoSpaceDN w:val="0"/>
        <w:spacing w:line="560" w:lineRule="exact"/>
        <w:ind w:firstLineChars="200" w:firstLine="640"/>
        <w:rPr>
          <w:rFonts w:eastAsia="方正楷体_GBK"/>
          <w:b/>
          <w:bCs/>
          <w:color w:val="FF0000"/>
          <w:sz w:val="32"/>
          <w:szCs w:val="32"/>
        </w:rPr>
      </w:pPr>
    </w:p>
    <w:p>
      <w:pPr>
        <w:autoSpaceDN w:val="0"/>
        <w:spacing w:line="560" w:lineRule="exact"/>
        <w:ind w:firstLineChars="200" w:firstLine="640"/>
        <w:rPr>
          <w:rFonts w:eastAsia="方正楷体_GBK"/>
          <w:b/>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color w:val="FF0000"/>
          <w:sz w:val="32"/>
          <w:szCs w:val="32"/>
        </w:rPr>
      </w:pP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五、一般公共预算财政拨款支出决算情况说明</w:t>
      </w:r>
    </w:p>
    <w:p>
      <w:pPr>
        <w:autoSpaceDN w:val="0"/>
        <w:spacing w:line="560" w:lineRule="exact"/>
        <w:ind w:firstLineChars="200" w:firstLine="640"/>
        <w:rPr>
          <w:rFonts w:ascii="方正楷体_GBK" w:eastAsia="方正楷体_GBK"/>
          <w:b/>
          <w:kern w:val="0"/>
          <w:sz w:val="32"/>
          <w:szCs w:val="32"/>
        </w:rPr>
      </w:pPr>
      <w:r>
        <w:rPr>
          <w:rFonts w:ascii="方正楷体_GBK" w:eastAsia="方正楷体_GBK" w:hint="eastAsia"/>
          <w:b/>
          <w:kern w:val="0"/>
          <w:sz w:val="32"/>
          <w:szCs w:val="32"/>
        </w:rPr>
        <w:t>（一）财政拨款支出决算总体情况。</w:t>
      </w:r>
    </w:p>
    <w:p>
      <w:pPr>
        <w:spacing w:line="560" w:lineRule="exact"/>
        <w:ind w:firstLineChars="200" w:firstLine="640"/>
        <w:rPr>
          <w:rFonts w:eastAsia="方正仿宋_GBK"/>
          <w:kern w:val="0"/>
          <w:sz w:val="32"/>
          <w:szCs w:val="32"/>
        </w:rPr>
      </w:pPr>
      <w:r>
        <w:rPr>
          <w:rFonts w:eastAsia="方正仿宋_GBK" w:hint="eastAsia"/>
          <w:kern w:val="0"/>
          <w:sz w:val="32"/>
          <w:szCs w:val="32"/>
        </w:rPr>
        <w:t>2025年度财政拨款支出2053.8万元，占本年支出合计的55.</w:t>
      </w:r>
      <w:r>
        <w:rPr>
          <w:rFonts w:eastAsia="方正仿宋_GBK"/>
          <w:kern w:val="0"/>
          <w:sz w:val="32"/>
          <w:szCs w:val="32"/>
        </w:rPr>
        <w:t>1</w:t>
      </w:r>
      <w:r>
        <w:rPr>
          <w:rFonts w:eastAsia="方正仿宋_GBK" w:hint="eastAsia"/>
          <w:kern w:val="0"/>
          <w:sz w:val="32"/>
          <w:szCs w:val="32"/>
        </w:rPr>
        <w:t>%。与2024年度相比，财政拨款支出增加135.45万元，增长7.</w:t>
      </w:r>
      <w:r>
        <w:rPr>
          <w:rFonts w:eastAsia="方正仿宋_GBK"/>
          <w:kern w:val="0"/>
          <w:sz w:val="32"/>
          <w:szCs w:val="32"/>
        </w:rPr>
        <w:t>1</w:t>
      </w:r>
      <w:r>
        <w:rPr>
          <w:rFonts w:eastAsia="方正仿宋_GBK" w:hint="eastAsia"/>
          <w:kern w:val="0"/>
          <w:sz w:val="32"/>
          <w:szCs w:val="32"/>
        </w:rPr>
        <w:t>%，主要原因</w:t>
      </w:r>
      <w:r>
        <w:rPr>
          <w:rFonts w:eastAsia="方正仿宋_GBK"/>
          <w:kern w:val="0"/>
          <w:sz w:val="32"/>
          <w:szCs w:val="32"/>
        </w:rPr>
        <w:t>为</w:t>
      </w:r>
      <w:r>
        <w:rPr>
          <w:rFonts w:eastAsia="方正仿宋_GBK" w:hint="eastAsia"/>
          <w:sz w:val="32"/>
          <w:szCs w:val="32"/>
        </w:rPr>
        <w:t>一般公共服务支出</w:t>
      </w:r>
      <w:r>
        <w:rPr>
          <w:rFonts w:eastAsia="方正仿宋_GBK"/>
          <w:sz w:val="32"/>
          <w:szCs w:val="32"/>
        </w:rPr>
        <w:t>-海关事务-海关关务</w:t>
      </w:r>
      <w:r>
        <w:rPr>
          <w:rFonts w:eastAsia="方正仿宋_GBK" w:hint="eastAsia"/>
          <w:sz w:val="32"/>
          <w:szCs w:val="32"/>
        </w:rPr>
        <w:t>增加</w:t>
      </w:r>
      <w:r>
        <w:rPr>
          <w:rFonts w:eastAsia="方正仿宋_GBK"/>
          <w:sz w:val="32"/>
          <w:szCs w:val="32"/>
        </w:rPr>
        <w:t>。</w:t>
      </w:r>
    </w:p>
    <w:p>
      <w:pPr>
        <w:spacing w:line="560" w:lineRule="exact"/>
        <w:ind w:firstLineChars="200" w:firstLine="640"/>
        <w:rPr>
          <w:rFonts w:eastAsia="方正仿宋_GBK"/>
          <w:kern w:val="0"/>
          <w:sz w:val="32"/>
          <w:szCs w:val="32"/>
        </w:rPr>
      </w:pPr>
    </w:p>
    <w:p>
      <w:pPr>
        <w:spacing w:line="560" w:lineRule="exact"/>
        <w:ind w:firstLineChars="200" w:firstLine="640"/>
        <w:rPr>
          <w:rFonts w:eastAsia="方正仿宋_GBK"/>
          <w:kern w:val="0"/>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图5：财政拨款支出决算变动情况</w:t>
      </w:r>
    </w:p>
    <w:p>
      <w:pPr>
        <w:autoSpaceDN w:val="0"/>
        <w:spacing w:line="560" w:lineRule="exact"/>
        <w:jc w:val="center"/>
        <w:rPr>
          <w:rFonts w:eastAsia="方正楷体_GBK"/>
          <w:b/>
          <w:bCs/>
          <w:sz w:val="32"/>
          <w:szCs w:val="32"/>
        </w:rPr>
      </w:pPr>
      <w:r>
        <w:rPr>
          <w:rFonts w:eastAsia="方正楷体_GBK" w:hint="eastAsia"/>
          <w:b/>
          <w:bCs/>
          <w:sz w:val="32"/>
          <w:szCs w:val="32"/>
        </w:rPr>
        <w:t>（单位：万元）</w:t>
      </w:r>
    </w:p>
    <w:p>
      <w:pPr>
        <w:autoSpaceDN w:val="0"/>
        <w:spacing w:line="560" w:lineRule="exact"/>
        <w:rPr>
          <w:rFonts w:eastAsia="方正仿宋_GBK"/>
          <w:color w:val="FF000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r>
        <w:rPr>
          <w:rFonts w:eastAsia="方正仿宋_GBK"/>
          <w:color w:val="FF0000"/>
          <w:kern w:val="0"/>
          <w:sz w:val="32"/>
          <w:szCs w:val="32"/>
        </w:rPr>
        <w:drawing>
          <wp:anchor distT="0" distB="0" distL="114300" distR="114300" simplePos="0" relativeHeight="27" behindDoc="0" locked="0" layoutInCell="1" hidden="0" allowOverlap="1">
            <wp:simplePos x="0" y="0"/>
            <wp:positionH relativeFrom="margin">
              <wp:align>center</wp:align>
            </wp:positionH>
            <wp:positionV relativeFrom="paragraph">
              <wp:posOffset>234758</wp:posOffset>
            </wp:positionV>
            <wp:extent cx="4590400" cy="2753833"/>
            <wp:effectExtent l="0" t="0" r="0" b="0"/>
            <wp:wrapNone/>
            <wp:docPr id="13" name="图片 5" descr="55.jpg"/>
            <wp:cNvGraphicFramePr>
              <a:graphicFrameLocks noChangeAspect="1"/>
            </wp:cNvGraphicFramePr>
            <a:graphic>
              <a:graphicData uri="http://schemas.openxmlformats.org/drawingml/2006/picture">
                <pic:pic>
                  <pic:nvPicPr>
                    <pic:cNvPr id="15" name="图片 5 15"/>
                    <pic:cNvPicPr/>
                  </pic:nvPicPr>
                  <pic:blipFill>
                    <a:blip r:embed="rId8"/>
                    <a:stretch>
                      <a:fillRect/>
                    </a:stretch>
                  </pic:blipFill>
                  <pic:spPr>
                    <a:xfrm rot="0">
                      <a:off x="0" y="0"/>
                      <a:ext cx="4590400" cy="2753833"/>
                    </a:xfrm>
                    <a:prstGeom prst="rect"/>
                    <a:noFill/>
                    <a:ln w="9525" cmpd="sng" cap="flat">
                      <a:noFill/>
                      <a:prstDash val="solid"/>
                      <a:miter/>
                    </a:ln>
                  </pic:spPr>
                </pic:pic>
              </a:graphicData>
            </a:graphic>
          </wp:anchor>
        </w:drawing>
      </w: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ind w:firstLineChars="200" w:firstLine="640"/>
        <w:rPr>
          <w:rFonts w:eastAsia="方正仿宋_GBK"/>
          <w:color w:val="FF0000"/>
          <w:kern w:val="0"/>
          <w:sz w:val="32"/>
          <w:szCs w:val="32"/>
        </w:rPr>
      </w:pPr>
    </w:p>
    <w:p>
      <w:pPr>
        <w:autoSpaceDN w:val="0"/>
        <w:spacing w:line="560" w:lineRule="exact"/>
        <w:rPr>
          <w:rFonts w:eastAsia="方正仿宋_GBK"/>
          <w:color w:val="FF0000"/>
          <w:kern w:val="0"/>
          <w:sz w:val="32"/>
          <w:szCs w:val="32"/>
        </w:rPr>
      </w:pPr>
    </w:p>
    <w:p>
      <w:pPr>
        <w:autoSpaceDN w:val="0"/>
        <w:spacing w:line="560" w:lineRule="exact"/>
        <w:jc w:val="center"/>
        <w:rPr>
          <w:rFonts w:eastAsia="方正仿宋_GBK"/>
          <w:color w:val="FF0000"/>
          <w:kern w:val="0"/>
          <w:sz w:val="32"/>
          <w:szCs w:val="32"/>
        </w:rPr>
      </w:pPr>
    </w:p>
    <w:p>
      <w:pPr>
        <w:autoSpaceDN w:val="0"/>
        <w:spacing w:line="560" w:lineRule="exact"/>
        <w:rPr>
          <w:rFonts w:eastAsia="方正仿宋_GBK"/>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kern w:val="0"/>
          <w:sz w:val="32"/>
          <w:szCs w:val="32"/>
        </w:rPr>
      </w:pPr>
      <w:r>
        <w:rPr>
          <w:rFonts w:ascii="方正楷体_GBK" w:eastAsia="方正楷体_GBK" w:hint="eastAsia"/>
          <w:b/>
          <w:kern w:val="0"/>
          <w:sz w:val="32"/>
          <w:szCs w:val="32"/>
        </w:rPr>
        <w:t>（二）财政拨款支出决算结构情况。</w:t>
      </w:r>
    </w:p>
    <w:p>
      <w:pPr>
        <w:spacing w:line="560" w:lineRule="exact"/>
        <w:ind w:firstLineChars="200" w:firstLine="640"/>
        <w:rPr>
          <w:rFonts w:eastAsia="方正仿宋_GBK"/>
          <w:kern w:val="0"/>
          <w:sz w:val="32"/>
          <w:szCs w:val="32"/>
        </w:rPr>
      </w:pPr>
      <w:r>
        <w:rPr>
          <w:rFonts w:eastAsia="方正仿宋_GBK" w:hint="eastAsia"/>
          <w:kern w:val="0"/>
          <w:sz w:val="32"/>
          <w:szCs w:val="32"/>
        </w:rPr>
        <w:t>2025年度财政拨款支出2110.04万元，主要用于以下方面：一般公共服务（类）支出1844.5万元，占87.4%；社会保障和就业（类）支出159.3万元，占7.</w:t>
      </w:r>
      <w:r>
        <w:rPr>
          <w:rFonts w:eastAsia="方正仿宋_GBK"/>
          <w:kern w:val="0"/>
          <w:sz w:val="32"/>
          <w:szCs w:val="32"/>
        </w:rPr>
        <w:t>6</w:t>
      </w:r>
      <w:r>
        <w:rPr>
          <w:rFonts w:eastAsia="方正仿宋_GBK" w:hint="eastAsia"/>
          <w:kern w:val="0"/>
          <w:sz w:val="32"/>
          <w:szCs w:val="32"/>
        </w:rPr>
        <w:t>%；住房保障（类）支出50万元，占2.</w:t>
      </w:r>
      <w:r>
        <w:rPr>
          <w:rFonts w:eastAsia="方正仿宋_GBK"/>
          <w:kern w:val="0"/>
          <w:sz w:val="32"/>
          <w:szCs w:val="32"/>
        </w:rPr>
        <w:t>4</w:t>
      </w:r>
      <w:r>
        <w:rPr>
          <w:rFonts w:eastAsia="方正仿宋_GBK" w:hint="eastAsia"/>
          <w:kern w:val="0"/>
          <w:sz w:val="32"/>
          <w:szCs w:val="32"/>
        </w:rPr>
        <w:t>%；其他支出56.24万元，占2.</w:t>
      </w:r>
      <w:r>
        <w:rPr>
          <w:rFonts w:eastAsia="方正仿宋_GBK"/>
          <w:kern w:val="0"/>
          <w:sz w:val="32"/>
          <w:szCs w:val="32"/>
        </w:rPr>
        <w:t>7</w:t>
      </w:r>
      <w:r>
        <w:rPr>
          <w:rFonts w:eastAsia="方正仿宋_GBK" w:hint="eastAsia"/>
          <w:kern w:val="0"/>
          <w:sz w:val="32"/>
          <w:szCs w:val="32"/>
        </w:rPr>
        <w:t>%。</w:t>
      </w:r>
    </w:p>
    <w:p>
      <w:pPr>
        <w:spacing w:line="560" w:lineRule="exact"/>
        <w:ind w:firstLineChars="200" w:firstLine="640"/>
        <w:rPr>
          <w:rFonts w:eastAsia="方正仿宋_GBK"/>
          <w:kern w:val="0"/>
          <w:sz w:val="32"/>
          <w:szCs w:val="32"/>
        </w:rPr>
      </w:pPr>
    </w:p>
    <w:p>
      <w:pPr>
        <w:spacing w:line="560" w:lineRule="exact"/>
        <w:ind w:firstLineChars="200" w:firstLine="640"/>
        <w:rPr>
          <w:rFonts w:eastAsia="方正仿宋_GBK"/>
          <w:kern w:val="0"/>
          <w:sz w:val="32"/>
          <w:szCs w:val="32"/>
        </w:rPr>
      </w:pPr>
    </w:p>
    <w:p>
      <w:pPr>
        <w:autoSpaceDN w:val="0"/>
        <w:spacing w:line="560" w:lineRule="exact"/>
        <w:jc w:val="center"/>
        <w:rPr>
          <w:rFonts w:eastAsia="方正楷体_GBK"/>
          <w:b/>
          <w:bCs/>
          <w:sz w:val="32"/>
          <w:szCs w:val="32"/>
        </w:rPr>
      </w:pPr>
      <w:r>
        <w:rPr>
          <w:rFonts w:eastAsia="方正楷体_GBK" w:hint="eastAsia"/>
          <w:b/>
          <w:bCs/>
          <w:sz w:val="32"/>
          <w:szCs w:val="32"/>
        </w:rPr>
        <w:t>图6：财政拨款支出决算结构</w:t>
      </w:r>
    </w:p>
    <w:p>
      <w:pPr>
        <w:tabs>
          <w:tab w:val="left" w:pos="4157"/>
        </w:tabs>
        <w:autoSpaceDN w:val="0"/>
        <w:spacing w:line="560" w:lineRule="exact"/>
        <w:rPr>
          <w:rFonts w:eastAsia="方正仿宋_GBK"/>
          <w:kern w:val="0"/>
          <w:sz w:val="32"/>
          <w:szCs w:val="32"/>
        </w:rPr>
      </w:pPr>
    </w:p>
    <w:p>
      <w:pPr>
        <w:tabs>
          <w:tab w:val="left" w:pos="4157"/>
        </w:tabs>
        <w:autoSpaceDN w:val="0"/>
        <w:spacing w:line="560" w:lineRule="exact"/>
        <w:jc w:val="left"/>
        <w:rPr>
          <w:rFonts w:eastAsia="方正仿宋_GBK"/>
          <w:color w:val="FF0000"/>
          <w:kern w:val="0"/>
          <w:sz w:val="32"/>
          <w:szCs w:val="32"/>
        </w:rPr>
      </w:pPr>
      <w:r>
        <w:rPr>
          <w:rFonts w:eastAsia="方正仿宋_GBK"/>
          <w:color w:val="FF0000"/>
          <w:kern w:val="0"/>
          <w:sz w:val="32"/>
          <w:szCs w:val="32"/>
        </w:rPr>
        <w:drawing>
          <wp:anchor distT="0" distB="0" distL="114300" distR="114300" simplePos="0" relativeHeight="29" behindDoc="0" locked="0" layoutInCell="1" hidden="0" allowOverlap="1">
            <wp:simplePos x="0" y="0"/>
            <wp:positionH relativeFrom="margin">
              <wp:align>center</wp:align>
            </wp:positionH>
            <wp:positionV relativeFrom="paragraph">
              <wp:posOffset>57150</wp:posOffset>
            </wp:positionV>
            <wp:extent cx="4589779" cy="2753360"/>
            <wp:effectExtent l="0" t="0" r="0" b="0"/>
            <wp:wrapNone/>
            <wp:docPr id="16" name="图片 7" descr="66.jpg"/>
            <wp:cNvGraphicFramePr>
              <a:graphicFrameLocks noChangeAspect="1"/>
            </wp:cNvGraphicFramePr>
            <a:graphic>
              <a:graphicData uri="http://schemas.openxmlformats.org/drawingml/2006/picture">
                <pic:pic>
                  <pic:nvPicPr>
                    <pic:cNvPr id="18" name="图片 7 18"/>
                    <pic:cNvPicPr/>
                  </pic:nvPicPr>
                  <pic:blipFill>
                    <a:blip r:embed="rId9"/>
                    <a:stretch>
                      <a:fillRect/>
                    </a:stretch>
                  </pic:blipFill>
                  <pic:spPr>
                    <a:xfrm rot="0">
                      <a:off x="0" y="0"/>
                      <a:ext cx="4589779" cy="2753360"/>
                    </a:xfrm>
                    <a:prstGeom prst="rect"/>
                    <a:noFill/>
                    <a:ln w="9525" cmpd="sng" cap="flat">
                      <a:noFill/>
                      <a:prstDash val="solid"/>
                      <a:miter/>
                    </a:ln>
                  </pic:spPr>
                </pic:pic>
              </a:graphicData>
            </a:graphic>
          </wp:anchor>
        </w:drawing>
      </w:r>
    </w:p>
    <w:p>
      <w:pPr>
        <w:tabs>
          <w:tab w:val="left" w:pos="4157"/>
        </w:tabs>
        <w:autoSpaceDN w:val="0"/>
        <w:spacing w:line="560" w:lineRule="exact"/>
        <w:rPr>
          <w:rFonts w:eastAsia="方正仿宋_GBK"/>
          <w:color w:val="FF0000"/>
          <w:kern w:val="0"/>
          <w:sz w:val="32"/>
          <w:szCs w:val="32"/>
        </w:rPr>
      </w:pPr>
    </w:p>
    <w:p>
      <w:pPr>
        <w:tabs>
          <w:tab w:val="left" w:pos="4157"/>
        </w:tabs>
        <w:autoSpaceDN w:val="0"/>
        <w:spacing w:line="560" w:lineRule="exact"/>
        <w:jc w:val="left"/>
        <w:rPr>
          <w:rFonts w:eastAsia="方正仿宋_GBK"/>
          <w:color w:val="FF0000"/>
          <w:kern w:val="0"/>
          <w:sz w:val="32"/>
          <w:szCs w:val="32"/>
        </w:rPr>
      </w:pPr>
    </w:p>
    <w:p>
      <w:pPr>
        <w:tabs>
          <w:tab w:val="left" w:pos="4157"/>
        </w:tabs>
        <w:autoSpaceDN w:val="0"/>
        <w:spacing w:line="560" w:lineRule="exact"/>
        <w:ind w:firstLineChars="310" w:firstLine="992"/>
        <w:jc w:val="center"/>
        <w:rPr>
          <w:rFonts w:eastAsia="方正仿宋_GBK"/>
          <w:color w:val="FF0000"/>
          <w:kern w:val="0"/>
          <w:sz w:val="32"/>
          <w:szCs w:val="32"/>
        </w:rPr>
      </w:pPr>
    </w:p>
    <w:p>
      <w:pPr>
        <w:tabs>
          <w:tab w:val="left" w:pos="4157"/>
        </w:tabs>
        <w:autoSpaceDN w:val="0"/>
        <w:spacing w:line="560" w:lineRule="exact"/>
        <w:ind w:firstLineChars="310" w:firstLine="992"/>
        <w:jc w:val="center"/>
        <w:rPr>
          <w:rFonts w:eastAsia="方正仿宋_GBK"/>
          <w:color w:val="FF0000"/>
          <w:kern w:val="0"/>
          <w:sz w:val="32"/>
          <w:szCs w:val="32"/>
        </w:rPr>
      </w:pPr>
    </w:p>
    <w:p>
      <w:pPr>
        <w:tabs>
          <w:tab w:val="left" w:pos="4157"/>
        </w:tabs>
        <w:autoSpaceDN w:val="0"/>
        <w:spacing w:line="560" w:lineRule="exact"/>
        <w:ind w:firstLineChars="310" w:firstLine="992"/>
        <w:jc w:val="center"/>
        <w:rPr>
          <w:rFonts w:eastAsia="方正仿宋_GBK"/>
          <w:color w:val="FF0000"/>
          <w:kern w:val="0"/>
          <w:sz w:val="32"/>
          <w:szCs w:val="32"/>
        </w:rPr>
      </w:pPr>
    </w:p>
    <w:p>
      <w:pPr>
        <w:tabs>
          <w:tab w:val="left" w:pos="4157"/>
        </w:tabs>
        <w:autoSpaceDN w:val="0"/>
        <w:spacing w:line="560" w:lineRule="exact"/>
        <w:ind w:firstLineChars="310" w:firstLine="992"/>
        <w:jc w:val="center"/>
        <w:rPr>
          <w:rFonts w:eastAsia="方正仿宋_GBK"/>
          <w:color w:val="FF0000"/>
          <w:kern w:val="0"/>
          <w:sz w:val="32"/>
          <w:szCs w:val="32"/>
        </w:rPr>
      </w:pPr>
    </w:p>
    <w:p>
      <w:pPr>
        <w:tabs>
          <w:tab w:val="left" w:pos="4157"/>
        </w:tabs>
        <w:autoSpaceDN w:val="0"/>
        <w:spacing w:line="560" w:lineRule="exact"/>
        <w:ind w:firstLineChars="310" w:firstLine="992"/>
        <w:rPr>
          <w:rFonts w:eastAsia="方正仿宋_GBK"/>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color w:val="FF0000"/>
          <w:kern w:val="0"/>
          <w:sz w:val="32"/>
          <w:szCs w:val="32"/>
        </w:rPr>
      </w:pPr>
    </w:p>
    <w:p>
      <w:pPr>
        <w:autoSpaceDN w:val="0"/>
        <w:spacing w:line="560" w:lineRule="exact"/>
        <w:ind w:firstLineChars="200" w:firstLine="640"/>
        <w:rPr>
          <w:rFonts w:ascii="方正楷体_GBK" w:eastAsia="方正楷体_GBK"/>
          <w:b/>
          <w:kern w:val="0"/>
          <w:sz w:val="32"/>
          <w:szCs w:val="32"/>
        </w:rPr>
      </w:pPr>
      <w:r>
        <w:rPr>
          <w:rFonts w:ascii="方正楷体_GBK" w:eastAsia="方正楷体_GBK" w:hint="eastAsia"/>
          <w:b/>
          <w:kern w:val="0"/>
          <w:sz w:val="32"/>
          <w:szCs w:val="32"/>
        </w:rPr>
        <w:t>（三）财政拨款支出决算具体情况。</w:t>
      </w:r>
    </w:p>
    <w:p>
      <w:pPr>
        <w:spacing w:line="560" w:lineRule="exact"/>
        <w:ind w:firstLineChars="200" w:firstLine="640"/>
        <w:rPr>
          <w:rFonts w:eastAsia="方正仿宋_GBK" w:cs="宋体"/>
          <w:kern w:val="0"/>
          <w:sz w:val="32"/>
          <w:szCs w:val="32"/>
        </w:rPr>
      </w:pPr>
      <w:r>
        <w:rPr>
          <w:rFonts w:eastAsia="方正仿宋_GBK" w:hint="eastAsia"/>
          <w:kern w:val="0"/>
          <w:sz w:val="32"/>
          <w:szCs w:val="32"/>
        </w:rPr>
        <w:t>2025年度财政拨款支出年初预算数为2203.76万元，支出决算数为2110.04万元，完成年初预算的</w:t>
      </w:r>
      <w:r>
        <w:rPr>
          <w:rFonts w:eastAsia="方正仿宋_GBK"/>
          <w:kern w:val="0"/>
          <w:sz w:val="32"/>
          <w:szCs w:val="32"/>
        </w:rPr>
        <w:t>10</w:t>
      </w:r>
      <w:r>
        <w:rPr>
          <w:rFonts w:eastAsia="方正仿宋_GBK" w:hint="eastAsia"/>
          <w:kern w:val="0"/>
          <w:sz w:val="32"/>
          <w:szCs w:val="32"/>
        </w:rPr>
        <w:t>4.4%。其中：</w:t>
      </w:r>
    </w:p>
    <w:p>
      <w:pPr>
        <w:spacing w:line="560" w:lineRule="exact"/>
        <w:ind w:firstLineChars="200" w:firstLine="640"/>
        <w:rPr>
          <w:rFonts w:eastAsia="方正仿宋_GBK"/>
          <w:kern w:val="0"/>
          <w:sz w:val="32"/>
          <w:szCs w:val="32"/>
          <w:lang w:val="zh-TW"/>
        </w:rPr>
      </w:pPr>
      <w:r>
        <w:rPr>
          <w:rFonts w:eastAsia="方正仿宋_GBK" w:hint="eastAsia"/>
          <w:b/>
          <w:kern w:val="0"/>
          <w:sz w:val="32"/>
          <w:szCs w:val="32"/>
        </w:rPr>
        <w:t>1. 一般公共服务支出（类）海关事务（款）行政运行（项）</w:t>
      </w:r>
      <w:r>
        <w:rPr>
          <w:rFonts w:eastAsia="方正仿宋_GBK" w:hint="eastAsia"/>
          <w:kern w:val="0"/>
          <w:sz w:val="32"/>
          <w:szCs w:val="32"/>
        </w:rPr>
        <w:t>年初预算为780万元，支出决算为780万元，完成年初预算的100%</w:t>
      </w:r>
      <w:r>
        <w:rPr>
          <w:rFonts w:eastAsia="方正仿宋_GBK" w:hint="eastAsia"/>
          <w:kern w:val="0"/>
          <w:sz w:val="32"/>
          <w:szCs w:val="32"/>
          <w:lang w:val="zh-TW"/>
        </w:rPr>
        <w:t>。</w:t>
      </w:r>
    </w:p>
    <w:p>
      <w:pPr>
        <w:spacing w:line="560" w:lineRule="exact"/>
        <w:ind w:firstLineChars="200" w:firstLine="640"/>
        <w:rPr>
          <w:rFonts w:eastAsia="方正仿宋_GBK"/>
          <w:kern w:val="0"/>
          <w:sz w:val="32"/>
          <w:szCs w:val="32"/>
          <w:lang w:val="zh-TW"/>
        </w:rPr>
      </w:pPr>
      <w:r>
        <w:rPr>
          <w:rFonts w:eastAsia="方正仿宋_GBK" w:hint="eastAsia"/>
          <w:b/>
          <w:kern w:val="0"/>
          <w:sz w:val="32"/>
          <w:szCs w:val="32"/>
        </w:rPr>
        <w:t>2.</w:t>
      </w:r>
      <w:r>
        <w:rPr>
          <w:rFonts w:eastAsia="方正仿宋_GBK"/>
          <w:b/>
          <w:kern w:val="0"/>
          <w:sz w:val="32"/>
          <w:szCs w:val="32"/>
        </w:rPr>
        <w:t xml:space="preserve"> </w:t>
      </w:r>
      <w:r>
        <w:rPr>
          <w:rFonts w:eastAsia="方正仿宋_GBK" w:hint="eastAsia"/>
          <w:b/>
          <w:kern w:val="0"/>
          <w:sz w:val="32"/>
          <w:szCs w:val="32"/>
        </w:rPr>
        <w:t>一般公共服务支出（类）海关事务（款）机关服务（项）</w:t>
      </w:r>
      <w:r>
        <w:rPr>
          <w:rFonts w:eastAsia="方正仿宋_GBK" w:hint="eastAsia"/>
          <w:kern w:val="0"/>
          <w:sz w:val="32"/>
          <w:szCs w:val="32"/>
        </w:rPr>
        <w:t>年初预算为</w:t>
      </w:r>
      <w:r>
        <w:rPr>
          <w:rFonts w:eastAsia="方正仿宋_GBK" w:cs="宋体" w:hint="eastAsia"/>
          <w:kern w:val="0"/>
          <w:sz w:val="32"/>
          <w:szCs w:val="32"/>
        </w:rPr>
        <w:t>62</w:t>
      </w:r>
      <w:r>
        <w:rPr>
          <w:rFonts w:eastAsia="方正仿宋_GBK" w:hint="eastAsia"/>
          <w:kern w:val="0"/>
          <w:sz w:val="32"/>
          <w:szCs w:val="32"/>
        </w:rPr>
        <w:t>万元，支出决算为62万元，完成年初预算的100%。</w:t>
      </w:r>
    </w:p>
    <w:p>
      <w:pPr>
        <w:spacing w:line="560" w:lineRule="exact"/>
        <w:ind w:firstLineChars="200" w:firstLine="640"/>
        <w:rPr>
          <w:rFonts w:eastAsia="方正仿宋_GBK"/>
          <w:kern w:val="0"/>
          <w:sz w:val="32"/>
          <w:szCs w:val="32"/>
          <w:lang w:val="zh-TW"/>
        </w:rPr>
      </w:pPr>
      <w:r>
        <w:rPr>
          <w:rFonts w:eastAsia="方正仿宋_GBK"/>
          <w:b/>
          <w:kern w:val="0"/>
          <w:sz w:val="32"/>
          <w:szCs w:val="32"/>
        </w:rPr>
        <w:t>3</w:t>
      </w:r>
      <w:r>
        <w:rPr>
          <w:rFonts w:eastAsia="方正仿宋_GBK" w:hint="eastAsia"/>
          <w:b/>
          <w:kern w:val="0"/>
          <w:sz w:val="32"/>
          <w:szCs w:val="32"/>
        </w:rPr>
        <w:t>. 一般公共服务支出（类）海关事务（款）缉私办案（项）</w:t>
      </w:r>
      <w:r>
        <w:rPr>
          <w:rFonts w:eastAsia="方正仿宋_GBK" w:hint="eastAsia"/>
          <w:kern w:val="0"/>
          <w:sz w:val="32"/>
          <w:szCs w:val="32"/>
        </w:rPr>
        <w:t>年初预算为</w:t>
      </w:r>
      <w:r>
        <w:rPr>
          <w:rFonts w:eastAsia="方正仿宋_GBK" w:cs="宋体" w:hint="eastAsia"/>
          <w:kern w:val="0"/>
          <w:sz w:val="32"/>
          <w:szCs w:val="32"/>
        </w:rPr>
        <w:t>5</w:t>
      </w:r>
      <w:r>
        <w:rPr>
          <w:rFonts w:eastAsia="方正仿宋_GBK" w:hint="eastAsia"/>
          <w:kern w:val="0"/>
          <w:sz w:val="32"/>
          <w:szCs w:val="32"/>
        </w:rPr>
        <w:t>万元，支出决算为</w:t>
      </w:r>
      <w:r>
        <w:rPr>
          <w:rFonts w:eastAsia="方正仿宋_GBK" w:cs="宋体" w:hint="eastAsia"/>
          <w:kern w:val="0"/>
          <w:sz w:val="32"/>
          <w:szCs w:val="32"/>
        </w:rPr>
        <w:t>5</w:t>
      </w:r>
      <w:r>
        <w:rPr>
          <w:rFonts w:eastAsia="方正仿宋_GBK" w:hint="eastAsia"/>
          <w:kern w:val="0"/>
          <w:sz w:val="32"/>
          <w:szCs w:val="32"/>
        </w:rPr>
        <w:t>万元，完成年初预算的100%。</w:t>
      </w:r>
    </w:p>
    <w:p>
      <w:pPr>
        <w:spacing w:line="560" w:lineRule="exact"/>
        <w:ind w:firstLineChars="200" w:firstLine="640"/>
        <w:rPr>
          <w:rFonts w:eastAsia="方正仿宋_GBK"/>
          <w:b/>
          <w:kern w:val="0"/>
          <w:sz w:val="32"/>
          <w:szCs w:val="32"/>
        </w:rPr>
      </w:pPr>
      <w:r>
        <w:rPr>
          <w:rFonts w:eastAsia="方正仿宋_GBK"/>
          <w:b/>
          <w:kern w:val="0"/>
          <w:sz w:val="32"/>
          <w:szCs w:val="32"/>
        </w:rPr>
        <w:t>4</w:t>
      </w:r>
      <w:r>
        <w:rPr>
          <w:rFonts w:eastAsia="方正仿宋_GBK" w:hint="eastAsia"/>
          <w:b/>
          <w:kern w:val="0"/>
          <w:sz w:val="32"/>
          <w:szCs w:val="32"/>
        </w:rPr>
        <w:t>.一般公共服务支出（类）海关事务（款）海关关务（项）</w:t>
      </w:r>
      <w:r>
        <w:rPr>
          <w:rFonts w:eastAsia="方正仿宋_GBK" w:hint="eastAsia"/>
          <w:kern w:val="0"/>
          <w:sz w:val="32"/>
          <w:szCs w:val="32"/>
        </w:rPr>
        <w:t>年初预算为</w:t>
      </w:r>
      <w:r>
        <w:rPr>
          <w:rFonts w:eastAsia="方正仿宋_GBK" w:cs="宋体" w:hint="eastAsia"/>
          <w:kern w:val="0"/>
          <w:sz w:val="32"/>
          <w:szCs w:val="32"/>
        </w:rPr>
        <w:t>264.5</w:t>
      </w:r>
      <w:r>
        <w:rPr>
          <w:rFonts w:eastAsia="方正仿宋_GBK" w:hint="eastAsia"/>
          <w:kern w:val="0"/>
          <w:sz w:val="32"/>
          <w:szCs w:val="32"/>
        </w:rPr>
        <w:t>万元，支出决算为</w:t>
      </w:r>
      <w:r>
        <w:rPr>
          <w:rFonts w:eastAsia="方正仿宋_GBK" w:cs="宋体" w:hint="eastAsia"/>
          <w:kern w:val="0"/>
          <w:sz w:val="32"/>
          <w:szCs w:val="32"/>
        </w:rPr>
        <w:t>264.5</w:t>
      </w:r>
      <w:r>
        <w:rPr>
          <w:rFonts w:eastAsia="方正仿宋_GBK" w:hint="eastAsia"/>
          <w:kern w:val="0"/>
          <w:sz w:val="32"/>
          <w:szCs w:val="32"/>
        </w:rPr>
        <w:t>万元，完成年初预算的</w:t>
      </w:r>
      <w:r>
        <w:rPr>
          <w:rFonts w:eastAsia="方正仿宋_GBK"/>
          <w:kern w:val="0"/>
          <w:sz w:val="32"/>
          <w:szCs w:val="32"/>
        </w:rPr>
        <w:t>100</w:t>
      </w:r>
      <w:r>
        <w:rPr>
          <w:rFonts w:eastAsia="方正仿宋_GBK" w:hint="eastAsia"/>
          <w:kern w:val="0"/>
          <w:sz w:val="32"/>
          <w:szCs w:val="32"/>
        </w:rPr>
        <w:t>%。</w:t>
      </w:r>
    </w:p>
    <w:p>
      <w:pPr>
        <w:spacing w:line="560" w:lineRule="exact"/>
        <w:ind w:firstLineChars="200" w:firstLine="640"/>
        <w:rPr>
          <w:rFonts w:eastAsia="方正仿宋_GBK"/>
          <w:kern w:val="0"/>
          <w:sz w:val="32"/>
          <w:szCs w:val="32"/>
          <w:lang w:val="zh-TW"/>
        </w:rPr>
      </w:pPr>
      <w:r>
        <w:rPr>
          <w:rFonts w:eastAsia="方正仿宋_GBK"/>
          <w:b/>
          <w:kern w:val="0"/>
          <w:sz w:val="32"/>
          <w:szCs w:val="32"/>
        </w:rPr>
        <w:t>5</w:t>
      </w:r>
      <w:r>
        <w:rPr>
          <w:rFonts w:eastAsia="方正仿宋_GBK" w:hint="eastAsia"/>
          <w:b/>
          <w:kern w:val="0"/>
          <w:sz w:val="32"/>
          <w:szCs w:val="32"/>
        </w:rPr>
        <w:t>. 一般公共服务支出（类）海关事务（款）检验检疫（项）</w:t>
      </w:r>
      <w:r>
        <w:rPr>
          <w:rFonts w:eastAsia="方正仿宋_GBK" w:hint="eastAsia"/>
          <w:kern w:val="0"/>
          <w:sz w:val="32"/>
          <w:szCs w:val="32"/>
        </w:rPr>
        <w:t>年初预算为</w:t>
      </w:r>
      <w:r>
        <w:rPr>
          <w:rFonts w:eastAsia="方正仿宋_GBK" w:cs="宋体" w:hint="eastAsia"/>
          <w:kern w:val="0"/>
          <w:sz w:val="32"/>
          <w:szCs w:val="32"/>
        </w:rPr>
        <w:t>165</w:t>
      </w:r>
      <w:r>
        <w:rPr>
          <w:rFonts w:eastAsia="方正仿宋_GBK" w:hint="eastAsia"/>
          <w:kern w:val="0"/>
          <w:sz w:val="32"/>
          <w:szCs w:val="32"/>
        </w:rPr>
        <w:t>万元，支出决算为</w:t>
      </w:r>
      <w:r>
        <w:rPr>
          <w:rFonts w:eastAsia="方正仿宋_GBK" w:cs="宋体" w:hint="eastAsia"/>
          <w:kern w:val="0"/>
          <w:sz w:val="32"/>
          <w:szCs w:val="32"/>
        </w:rPr>
        <w:t>165</w:t>
      </w:r>
      <w:r>
        <w:rPr>
          <w:rFonts w:eastAsia="方正仿宋_GBK" w:hint="eastAsia"/>
          <w:kern w:val="0"/>
          <w:sz w:val="32"/>
          <w:szCs w:val="32"/>
        </w:rPr>
        <w:t>万元，完成年初预算的100%。</w:t>
      </w:r>
    </w:p>
    <w:p>
      <w:pPr>
        <w:spacing w:line="560" w:lineRule="exact"/>
        <w:ind w:firstLineChars="200" w:firstLine="640"/>
        <w:rPr>
          <w:rFonts w:eastAsia="方正仿宋_GBK"/>
          <w:kern w:val="0"/>
          <w:sz w:val="32"/>
          <w:szCs w:val="32"/>
        </w:rPr>
      </w:pPr>
      <w:r>
        <w:rPr>
          <w:rFonts w:eastAsia="方正仿宋_GBK"/>
          <w:b/>
          <w:kern w:val="0"/>
          <w:sz w:val="32"/>
          <w:szCs w:val="32"/>
        </w:rPr>
        <w:t>6</w:t>
      </w:r>
      <w:r>
        <w:rPr>
          <w:rFonts w:eastAsia="方正仿宋_GBK" w:hint="eastAsia"/>
          <w:b/>
          <w:kern w:val="0"/>
          <w:sz w:val="32"/>
          <w:szCs w:val="32"/>
        </w:rPr>
        <w:t>. 一般公共服务支出（类）海关事务（款）事业运行（项）</w:t>
      </w:r>
      <w:r>
        <w:rPr>
          <w:rFonts w:eastAsia="方正仿宋_GBK" w:hint="eastAsia"/>
          <w:kern w:val="0"/>
          <w:sz w:val="32"/>
          <w:szCs w:val="32"/>
        </w:rPr>
        <w:t>年初预算为568万元，支出决算为568万元，完成年初预算的100%。</w:t>
      </w:r>
    </w:p>
    <w:p>
      <w:pPr>
        <w:spacing w:line="560" w:lineRule="exact"/>
        <w:ind w:firstLineChars="200" w:firstLine="640"/>
        <w:rPr>
          <w:rFonts w:eastAsia="方正仿宋_GBK" w:cs="宋体"/>
          <w:kern w:val="0"/>
          <w:sz w:val="32"/>
          <w:szCs w:val="32"/>
        </w:rPr>
      </w:pPr>
      <w:r>
        <w:rPr>
          <w:rFonts w:eastAsia="方正仿宋_GBK"/>
          <w:b/>
          <w:kern w:val="0"/>
          <w:sz w:val="32"/>
          <w:szCs w:val="32"/>
        </w:rPr>
        <w:t>7</w:t>
      </w:r>
      <w:r>
        <w:rPr>
          <w:rFonts w:eastAsia="方正仿宋_GBK" w:hint="eastAsia"/>
          <w:b/>
          <w:kern w:val="0"/>
          <w:sz w:val="32"/>
          <w:szCs w:val="32"/>
        </w:rPr>
        <w:t>. 社会保障和就业支出（类）行政事业单位养老支出（款）机关事业单位基本养老保险缴费支出（项）</w:t>
      </w:r>
      <w:r>
        <w:rPr>
          <w:rFonts w:eastAsia="方正仿宋_GBK" w:hint="eastAsia"/>
          <w:kern w:val="0"/>
          <w:sz w:val="32"/>
          <w:szCs w:val="32"/>
        </w:rPr>
        <w:t>年初预算为107.86万元，支出决算为107.86万元，完成年初预算的100%。</w:t>
      </w:r>
    </w:p>
    <w:p>
      <w:pPr>
        <w:spacing w:line="560" w:lineRule="exact"/>
        <w:ind w:firstLineChars="200" w:firstLine="640"/>
        <w:rPr>
          <w:rFonts w:eastAsia="方正仿宋_GBK"/>
          <w:kern w:val="0"/>
          <w:sz w:val="32"/>
          <w:szCs w:val="32"/>
        </w:rPr>
      </w:pPr>
      <w:r>
        <w:rPr>
          <w:rFonts w:eastAsia="方正仿宋_GBK"/>
          <w:b/>
          <w:kern w:val="0"/>
          <w:sz w:val="32"/>
          <w:szCs w:val="32"/>
        </w:rPr>
        <w:t>8</w:t>
      </w:r>
      <w:r>
        <w:rPr>
          <w:rFonts w:eastAsia="方正仿宋_GBK" w:hint="eastAsia"/>
          <w:b/>
          <w:kern w:val="0"/>
          <w:sz w:val="32"/>
          <w:szCs w:val="32"/>
        </w:rPr>
        <w:t>. 社会保障和就业支出（类）行政事业单位养老支出（款）机关事业单位职业年金缴费支出（项）</w:t>
      </w:r>
      <w:r>
        <w:rPr>
          <w:rFonts w:eastAsia="方正仿宋_GBK" w:hint="eastAsia"/>
          <w:kern w:val="0"/>
          <w:sz w:val="32"/>
          <w:szCs w:val="32"/>
        </w:rPr>
        <w:t>年初预算为51.44万元，支出决算为51.44万元，完成年初预算的100%。</w:t>
      </w:r>
    </w:p>
    <w:p>
      <w:pPr>
        <w:spacing w:line="560" w:lineRule="exact"/>
        <w:ind w:firstLineChars="200" w:firstLine="640"/>
        <w:rPr>
          <w:rFonts w:eastAsia="方正仿宋_GBK"/>
          <w:kern w:val="0"/>
          <w:sz w:val="32"/>
          <w:szCs w:val="32"/>
        </w:rPr>
      </w:pPr>
      <w:r>
        <w:rPr>
          <w:rFonts w:eastAsia="方正仿宋_GBK"/>
          <w:b/>
          <w:kern w:val="0"/>
          <w:sz w:val="32"/>
          <w:szCs w:val="32"/>
        </w:rPr>
        <w:t>9</w:t>
      </w:r>
      <w:r>
        <w:rPr>
          <w:rFonts w:eastAsia="方正仿宋_GBK" w:hint="eastAsia"/>
          <w:b/>
          <w:kern w:val="0"/>
          <w:sz w:val="32"/>
          <w:szCs w:val="32"/>
        </w:rPr>
        <w:t>. 住房保障支出（类）住房改革支出（款）住房公积金（项）</w:t>
      </w:r>
      <w:r>
        <w:rPr>
          <w:rFonts w:eastAsia="方正仿宋_GBK" w:hint="eastAsia"/>
          <w:kern w:val="0"/>
          <w:sz w:val="32"/>
          <w:szCs w:val="32"/>
        </w:rPr>
        <w:t>年初预算为50万元，支出决算为50万元，完成年初预算的100%。</w:t>
      </w:r>
    </w:p>
    <w:p>
      <w:pPr>
        <w:spacing w:line="560" w:lineRule="exact"/>
        <w:ind w:firstLineChars="200" w:firstLine="640"/>
        <w:rPr>
          <w:rFonts w:eastAsia="方正仿宋_GBK"/>
          <w:color w:val="FF0000"/>
          <w:kern w:val="0"/>
          <w:sz w:val="32"/>
          <w:szCs w:val="32"/>
        </w:rPr>
      </w:pPr>
      <w:r>
        <w:rPr>
          <w:rFonts w:eastAsia="方正仿宋_GBK" w:hint="eastAsia"/>
          <w:b/>
          <w:kern w:val="0"/>
          <w:sz w:val="32"/>
          <w:szCs w:val="32"/>
        </w:rPr>
        <w:t>10. 其他支出（类）超长期特别国债安排的其他支出（款）其他支出（项）</w:t>
      </w:r>
      <w:r>
        <w:rPr>
          <w:rFonts w:eastAsia="方正仿宋_GBK" w:hint="eastAsia"/>
          <w:kern w:val="0"/>
          <w:sz w:val="32"/>
          <w:szCs w:val="32"/>
        </w:rPr>
        <w:t>年初预算为149.96万元，支出决算为56.24万元，完成年初预算的</w:t>
      </w:r>
      <w:r>
        <w:rPr>
          <w:rFonts w:eastAsia="方正仿宋_GBK"/>
          <w:kern w:val="0"/>
          <w:sz w:val="32"/>
          <w:szCs w:val="32"/>
        </w:rPr>
        <w:t>37.5</w:t>
      </w:r>
      <w:r>
        <w:rPr>
          <w:rFonts w:eastAsia="方正仿宋_GBK" w:hint="eastAsia"/>
          <w:kern w:val="0"/>
          <w:sz w:val="32"/>
          <w:szCs w:val="32"/>
        </w:rPr>
        <w:t>%。</w:t>
      </w:r>
      <w:r>
        <w:rPr>
          <w:rFonts w:eastAsia="方正仿宋_GBK" w:hint="eastAsia"/>
          <w:sz w:val="32"/>
          <w:szCs w:val="32"/>
        </w:rPr>
        <w:t>决算数小于预算数的主要原因是</w:t>
      </w:r>
      <w:r>
        <w:rPr>
          <w:rFonts w:eastAsia="方正仿宋_GBK"/>
          <w:sz w:val="32"/>
          <w:szCs w:val="32"/>
        </w:rPr>
        <w:t>2024</w:t>
      </w:r>
      <w:r>
        <w:rPr>
          <w:rFonts w:eastAsia="方正仿宋_GBK" w:hint="eastAsia"/>
          <w:sz w:val="32"/>
          <w:szCs w:val="32"/>
        </w:rPr>
        <w:t>年</w:t>
      </w:r>
      <w:r>
        <w:rPr>
          <w:rFonts w:eastAsia="方正仿宋_GBK"/>
          <w:sz w:val="32"/>
          <w:szCs w:val="32"/>
        </w:rPr>
        <w:t>度</w:t>
      </w:r>
      <w:r>
        <w:rPr>
          <w:rFonts w:eastAsia="方正仿宋_GBK" w:hint="eastAsia"/>
          <w:sz w:val="32"/>
          <w:szCs w:val="32"/>
        </w:rPr>
        <w:t>结余资金有</w:t>
      </w:r>
      <w:r>
        <w:rPr>
          <w:rFonts w:eastAsia="方正仿宋_GBK"/>
          <w:sz w:val="32"/>
          <w:szCs w:val="32"/>
        </w:rPr>
        <w:t>93.72</w:t>
      </w:r>
      <w:r>
        <w:rPr>
          <w:rFonts w:eastAsia="方正仿宋_GBK" w:hint="eastAsia"/>
          <w:sz w:val="32"/>
          <w:szCs w:val="32"/>
        </w:rPr>
        <w:t>万元，已于</w:t>
      </w:r>
      <w:r>
        <w:rPr>
          <w:rFonts w:eastAsia="方正仿宋_GBK"/>
          <w:sz w:val="32"/>
          <w:szCs w:val="32"/>
        </w:rPr>
        <w:t>2026</w:t>
      </w:r>
      <w:r>
        <w:rPr>
          <w:rFonts w:eastAsia="方正仿宋_GBK" w:hint="eastAsia"/>
          <w:sz w:val="32"/>
          <w:szCs w:val="32"/>
        </w:rPr>
        <w:t>年</w:t>
      </w:r>
      <w:r>
        <w:rPr>
          <w:rFonts w:eastAsia="方正仿宋_GBK"/>
          <w:sz w:val="32"/>
          <w:szCs w:val="32"/>
        </w:rPr>
        <w:t>6</w:t>
      </w:r>
      <w:r>
        <w:rPr>
          <w:rFonts w:eastAsia="方正仿宋_GBK" w:hint="eastAsia"/>
          <w:sz w:val="32"/>
          <w:szCs w:val="32"/>
        </w:rPr>
        <w:t>月交回财政部。</w:t>
      </w:r>
    </w:p>
    <w:p>
      <w:pPr>
        <w:tabs>
          <w:tab w:val="left" w:pos="4157"/>
        </w:tabs>
        <w:autoSpaceDN w:val="0"/>
        <w:spacing w:line="56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六、一般公共预算财政拨款基本支出决算情况说明</w:t>
      </w:r>
    </w:p>
    <w:p>
      <w:pPr>
        <w:spacing w:line="560" w:lineRule="exact"/>
        <w:ind w:firstLineChars="200" w:firstLine="640"/>
        <w:rPr>
          <w:rFonts w:eastAsia="方正仿宋_GBK"/>
          <w:kern w:val="0"/>
          <w:sz w:val="32"/>
          <w:szCs w:val="32"/>
        </w:rPr>
      </w:pPr>
      <w:r>
        <w:rPr>
          <w:rFonts w:eastAsia="方正仿宋_GBK" w:hint="eastAsia"/>
          <w:kern w:val="0"/>
          <w:sz w:val="32"/>
          <w:szCs w:val="32"/>
        </w:rPr>
        <w:t>2025年度财政拨款基本支出1619.3万元，其中：</w:t>
      </w:r>
    </w:p>
    <w:p>
      <w:pPr>
        <w:spacing w:line="560" w:lineRule="exact"/>
        <w:ind w:firstLineChars="200" w:firstLine="640"/>
        <w:rPr>
          <w:rFonts w:eastAsia="方正仿宋_GBK"/>
          <w:kern w:val="0"/>
          <w:sz w:val="32"/>
          <w:szCs w:val="32"/>
        </w:rPr>
      </w:pPr>
      <w:r>
        <w:rPr>
          <w:rFonts w:eastAsia="方正仿宋_GBK" w:hint="eastAsia"/>
          <w:b/>
          <w:kern w:val="0"/>
          <w:sz w:val="32"/>
          <w:szCs w:val="32"/>
        </w:rPr>
        <w:t>人员经费</w:t>
      </w:r>
      <w:r>
        <w:rPr>
          <w:rFonts w:eastAsia="方正仿宋_GBK" w:hint="eastAsia"/>
          <w:kern w:val="0"/>
          <w:sz w:val="32"/>
          <w:szCs w:val="32"/>
        </w:rPr>
        <w:t>665.3万元，主要包括基本工资、绩效工资、机关事业单位基本养老保险缴费、职业年金缴费、住房公积金。</w:t>
      </w:r>
    </w:p>
    <w:p>
      <w:pPr>
        <w:spacing w:line="560" w:lineRule="exact"/>
        <w:ind w:firstLineChars="200" w:firstLine="640"/>
        <w:rPr>
          <w:rFonts w:eastAsia="方正仿宋_GBK"/>
          <w:color w:val="FF0000"/>
          <w:kern w:val="0"/>
          <w:sz w:val="32"/>
          <w:szCs w:val="32"/>
        </w:rPr>
      </w:pPr>
      <w:r>
        <w:rPr>
          <w:rFonts w:eastAsia="方正仿宋_GBK" w:hint="eastAsia"/>
          <w:b/>
          <w:kern w:val="0"/>
          <w:sz w:val="32"/>
          <w:szCs w:val="32"/>
        </w:rPr>
        <w:t>公用经费</w:t>
      </w:r>
      <w:r>
        <w:rPr>
          <w:rFonts w:eastAsia="方正仿宋_GBK" w:hint="eastAsia"/>
          <w:kern w:val="0"/>
          <w:sz w:val="32"/>
          <w:szCs w:val="32"/>
        </w:rPr>
        <w:t>954万元，主要包括办公费、水费、电费、邮电费、物业管理费、差旅费、维修（护）费、培训费、专用材料费、劳务费、委托业务费、工会经费、福利费、公务用车运行维护费、其他商品和服务支出、办公设备购置。</w:t>
      </w:r>
    </w:p>
    <w:p>
      <w:pPr>
        <w:tabs>
          <w:tab w:val="left" w:pos="4157"/>
        </w:tabs>
        <w:autoSpaceDN w:val="0"/>
        <w:spacing w:line="560" w:lineRule="exact"/>
        <w:ind w:firstLineChars="200" w:firstLine="640"/>
        <w:rPr>
          <w:rFonts w:ascii="方正黑体_GBK" w:eastAsia="方正黑体_GBK"/>
          <w:kern w:val="0"/>
          <w:sz w:val="32"/>
          <w:szCs w:val="32"/>
        </w:rPr>
      </w:pPr>
      <w:r>
        <w:rPr>
          <w:rFonts w:ascii="方正黑体_GBK" w:eastAsia="方正黑体_GBK" w:hint="eastAsia"/>
          <w:kern w:val="0"/>
          <w:sz w:val="32"/>
          <w:szCs w:val="32"/>
        </w:rPr>
        <w:t>七、政府性基金预算财政拨款支出决算情况说明</w:t>
      </w:r>
    </w:p>
    <w:p>
      <w:pPr>
        <w:spacing w:line="560" w:lineRule="exact"/>
        <w:ind w:firstLineChars="200" w:firstLine="640"/>
        <w:rPr>
          <w:rFonts w:eastAsia="方正仿宋_GBK"/>
          <w:kern w:val="0"/>
          <w:sz w:val="32"/>
          <w:szCs w:val="32"/>
        </w:rPr>
      </w:pPr>
      <w:r>
        <w:rPr>
          <w:rFonts w:eastAsia="方正仿宋_GBK" w:hint="eastAsia"/>
          <w:kern w:val="0"/>
          <w:sz w:val="32"/>
          <w:szCs w:val="32"/>
        </w:rPr>
        <w:t>2025年度财政拨款年初结转和结余149.96万元，支出56.24万元，占本年</w:t>
      </w:r>
      <w:r>
        <w:rPr>
          <w:rFonts w:eastAsia="方正仿宋_GBK"/>
          <w:kern w:val="0"/>
          <w:sz w:val="32"/>
          <w:szCs w:val="32"/>
        </w:rPr>
        <w:t>预算</w:t>
      </w:r>
      <w:r>
        <w:rPr>
          <w:rFonts w:eastAsia="方正仿宋_GBK" w:hint="eastAsia"/>
          <w:kern w:val="0"/>
          <w:sz w:val="32"/>
          <w:szCs w:val="32"/>
        </w:rPr>
        <w:t>支出合计的1.</w:t>
      </w:r>
      <w:r>
        <w:rPr>
          <w:rFonts w:eastAsia="方正仿宋_GBK"/>
          <w:kern w:val="0"/>
          <w:sz w:val="32"/>
          <w:szCs w:val="32"/>
        </w:rPr>
        <w:t>2</w:t>
      </w:r>
      <w:r>
        <w:rPr>
          <w:rFonts w:eastAsia="方正仿宋_GBK" w:hint="eastAsia"/>
          <w:kern w:val="0"/>
          <w:sz w:val="32"/>
          <w:szCs w:val="32"/>
        </w:rPr>
        <w:t>%。</w:t>
      </w:r>
      <w:r>
        <w:rPr>
          <w:rFonts w:eastAsia="方正仿宋_GBK" w:hint="eastAsia"/>
          <w:sz w:val="32"/>
          <w:szCs w:val="32"/>
        </w:rPr>
        <w:t>决算数小于预算数的主要原因是</w:t>
      </w:r>
      <w:r>
        <w:rPr>
          <w:rFonts w:eastAsia="方正仿宋_GBK"/>
          <w:sz w:val="32"/>
          <w:szCs w:val="32"/>
        </w:rPr>
        <w:t>2024</w:t>
      </w:r>
      <w:r>
        <w:rPr>
          <w:rFonts w:eastAsia="方正仿宋_GBK" w:hint="eastAsia"/>
          <w:sz w:val="32"/>
          <w:szCs w:val="32"/>
        </w:rPr>
        <w:t>年</w:t>
      </w:r>
      <w:r>
        <w:rPr>
          <w:rFonts w:eastAsia="方正仿宋_GBK"/>
          <w:sz w:val="32"/>
          <w:szCs w:val="32"/>
        </w:rPr>
        <w:t>度</w:t>
      </w:r>
      <w:r>
        <w:rPr>
          <w:rFonts w:eastAsia="方正仿宋_GBK" w:hint="eastAsia"/>
          <w:sz w:val="32"/>
          <w:szCs w:val="32"/>
        </w:rPr>
        <w:t>结余资金有</w:t>
      </w:r>
      <w:r>
        <w:rPr>
          <w:rFonts w:eastAsia="方正仿宋_GBK"/>
          <w:sz w:val="32"/>
          <w:szCs w:val="32"/>
        </w:rPr>
        <w:t>93.72</w:t>
      </w:r>
      <w:r>
        <w:rPr>
          <w:rFonts w:eastAsia="方正仿宋_GBK" w:hint="eastAsia"/>
          <w:sz w:val="32"/>
          <w:szCs w:val="32"/>
        </w:rPr>
        <w:t>万元，已于</w:t>
      </w:r>
      <w:r>
        <w:rPr>
          <w:rFonts w:eastAsia="方正仿宋_GBK"/>
          <w:sz w:val="32"/>
          <w:szCs w:val="32"/>
        </w:rPr>
        <w:t>2026</w:t>
      </w:r>
      <w:r>
        <w:rPr>
          <w:rFonts w:eastAsia="方正仿宋_GBK" w:hint="eastAsia"/>
          <w:sz w:val="32"/>
          <w:szCs w:val="32"/>
        </w:rPr>
        <w:t>年</w:t>
      </w:r>
      <w:r>
        <w:rPr>
          <w:rFonts w:eastAsia="方正仿宋_GBK"/>
          <w:sz w:val="32"/>
          <w:szCs w:val="32"/>
        </w:rPr>
        <w:t>6</w:t>
      </w:r>
      <w:r>
        <w:rPr>
          <w:rFonts w:eastAsia="方正仿宋_GBK" w:hint="eastAsia"/>
          <w:sz w:val="32"/>
          <w:szCs w:val="32"/>
        </w:rPr>
        <w:t>月交回财政部。</w:t>
      </w:r>
    </w:p>
    <w:p>
      <w:pPr>
        <w:tabs>
          <w:tab w:val="left" w:pos="4157"/>
        </w:tabs>
        <w:autoSpaceDN w:val="0"/>
        <w:spacing w:line="560" w:lineRule="exact"/>
        <w:ind w:firstLineChars="200" w:firstLine="640"/>
        <w:rPr>
          <w:rFonts w:ascii="方正黑体_GBK" w:eastAsia="方正黑体_GBK"/>
          <w:kern w:val="0"/>
          <w:sz w:val="32"/>
          <w:szCs w:val="32"/>
        </w:rPr>
      </w:pPr>
      <w:r>
        <w:rPr>
          <w:rFonts w:ascii="方正黑体_GBK" w:eastAsia="方正黑体_GBK"/>
          <w:kern w:val="0"/>
          <w:sz w:val="32"/>
          <w:szCs w:val="32"/>
        </w:rPr>
        <w:t>八</w:t>
      </w:r>
      <w:r>
        <w:rPr>
          <w:rFonts w:ascii="方正黑体_GBK" w:eastAsia="方正黑体_GBK" w:hint="eastAsia"/>
          <w:kern w:val="0"/>
          <w:sz w:val="32"/>
          <w:szCs w:val="32"/>
        </w:rPr>
        <w:t>、财政拨款“三公”经费支出决算情况说明</w:t>
      </w:r>
    </w:p>
    <w:p>
      <w:pPr>
        <w:autoSpaceDN w:val="0"/>
        <w:spacing w:line="560" w:lineRule="exact"/>
        <w:ind w:firstLineChars="200" w:firstLine="640"/>
        <w:rPr>
          <w:rFonts w:ascii="方正楷体_GBK" w:eastAsia="方正楷体_GBK"/>
          <w:b/>
          <w:kern w:val="0"/>
          <w:sz w:val="32"/>
          <w:szCs w:val="32"/>
        </w:rPr>
      </w:pPr>
      <w:r>
        <w:rPr>
          <w:rFonts w:ascii="方正楷体_GBK" w:eastAsia="方正楷体_GBK" w:hint="eastAsia"/>
          <w:b/>
          <w:kern w:val="0"/>
          <w:sz w:val="32"/>
          <w:szCs w:val="32"/>
        </w:rPr>
        <w:t>（一）“三公”经费财政拨款支出决算总体情况说明。</w:t>
      </w:r>
    </w:p>
    <w:p>
      <w:pPr>
        <w:spacing w:line="560" w:lineRule="exact"/>
        <w:ind w:firstLineChars="200" w:firstLine="640"/>
        <w:rPr>
          <w:rFonts w:eastAsia="方正仿宋_GBK"/>
          <w:kern w:val="0"/>
          <w:sz w:val="32"/>
          <w:szCs w:val="32"/>
        </w:rPr>
      </w:pPr>
      <w:r>
        <w:rPr>
          <w:rFonts w:eastAsia="方正仿宋_GBK" w:hint="eastAsia"/>
          <w:kern w:val="0"/>
          <w:sz w:val="32"/>
          <w:szCs w:val="32"/>
        </w:rPr>
        <w:t>2025年度“三公”经费财政拨款支出预算为102万元，支出决算为64.41万元，完成年初预算的63.</w:t>
      </w:r>
      <w:r>
        <w:rPr>
          <w:rFonts w:eastAsia="方正仿宋_GBK"/>
          <w:kern w:val="0"/>
          <w:sz w:val="32"/>
          <w:szCs w:val="32"/>
        </w:rPr>
        <w:t>2</w:t>
      </w:r>
      <w:r>
        <w:rPr>
          <w:rFonts w:eastAsia="方正仿宋_GBK" w:hint="eastAsia"/>
          <w:kern w:val="0"/>
          <w:sz w:val="32"/>
          <w:szCs w:val="32"/>
        </w:rPr>
        <w:t>%。决算数小于预算数的主要原因是惠州海关继续认真贯彻落实“党政机关要坚持过紧日子”要求，厉行节约，从严控制“三公”经费开支。</w:t>
      </w:r>
    </w:p>
    <w:p>
      <w:pPr>
        <w:autoSpaceDN w:val="0"/>
        <w:spacing w:line="560" w:lineRule="exact"/>
        <w:ind w:firstLineChars="200" w:firstLine="640"/>
        <w:rPr>
          <w:rFonts w:ascii="方正楷体_GBK" w:eastAsia="方正楷体_GBK"/>
          <w:b/>
          <w:kern w:val="0"/>
          <w:sz w:val="32"/>
          <w:szCs w:val="32"/>
        </w:rPr>
      </w:pPr>
      <w:r>
        <w:rPr>
          <w:rFonts w:ascii="方正楷体_GBK" w:eastAsia="方正楷体_GBK" w:hint="eastAsia"/>
          <w:b/>
          <w:kern w:val="0"/>
          <w:sz w:val="32"/>
          <w:szCs w:val="32"/>
        </w:rPr>
        <w:t>（二）“三公”经费财政拨款支出决算具体情况说明。</w:t>
      </w:r>
    </w:p>
    <w:p>
      <w:pPr>
        <w:spacing w:line="560" w:lineRule="exact"/>
        <w:ind w:firstLineChars="200" w:firstLine="640"/>
        <w:rPr>
          <w:rFonts w:eastAsia="方正仿宋_GBK"/>
          <w:kern w:val="0"/>
          <w:sz w:val="32"/>
          <w:szCs w:val="32"/>
        </w:rPr>
      </w:pPr>
      <w:r>
        <w:rPr>
          <w:rFonts w:eastAsia="方正仿宋_GBK" w:hint="eastAsia"/>
          <w:b/>
          <w:kern w:val="0"/>
          <w:sz w:val="32"/>
          <w:szCs w:val="32"/>
        </w:rPr>
        <w:t>1. 公务用车运行维护费</w:t>
      </w:r>
      <w:r>
        <w:rPr>
          <w:rFonts w:eastAsia="方正仿宋_GBK" w:hint="eastAsia"/>
          <w:kern w:val="0"/>
          <w:sz w:val="32"/>
          <w:szCs w:val="32"/>
        </w:rPr>
        <w:t>预算为64.41万元，支出决算为101万元，完成年初预算的</w:t>
      </w:r>
      <w:r>
        <w:rPr>
          <w:rFonts w:eastAsia="方正仿宋_GBK"/>
          <w:kern w:val="0"/>
          <w:sz w:val="32"/>
          <w:szCs w:val="32"/>
        </w:rPr>
        <w:t>85.2</w:t>
      </w:r>
      <w:r>
        <w:rPr>
          <w:rFonts w:eastAsia="方正仿宋_GBK" w:hint="eastAsia"/>
          <w:kern w:val="0"/>
          <w:sz w:val="32"/>
          <w:szCs w:val="32"/>
        </w:rPr>
        <w:t>%；较上</w:t>
      </w:r>
      <w:r>
        <w:rPr>
          <w:rFonts w:eastAsia="方正仿宋_GBK"/>
          <w:kern w:val="0"/>
          <w:sz w:val="32"/>
          <w:szCs w:val="32"/>
        </w:rPr>
        <w:t>年</w:t>
      </w:r>
      <w:r>
        <w:rPr>
          <w:rFonts w:eastAsia="方正仿宋_GBK" w:hint="eastAsia"/>
          <w:kern w:val="0"/>
          <w:sz w:val="32"/>
          <w:szCs w:val="32"/>
        </w:rPr>
        <w:t>减少4.</w:t>
      </w:r>
      <w:r>
        <w:rPr>
          <w:rFonts w:eastAsia="方正仿宋_GBK"/>
          <w:kern w:val="0"/>
          <w:sz w:val="32"/>
          <w:szCs w:val="32"/>
        </w:rPr>
        <w:t>46</w:t>
      </w:r>
      <w:r>
        <w:rPr>
          <w:rFonts w:eastAsia="方正仿宋_GBK" w:hint="eastAsia"/>
          <w:kern w:val="0"/>
          <w:sz w:val="32"/>
          <w:szCs w:val="32"/>
        </w:rPr>
        <w:t>万元，下降23.3%。决算数小于预算数的主要原因是惠州海关继续认真贯彻落实“党政机关要坚持过紧日子”要求，厉行节约，从严控制公车运行维护经费开支。</w:t>
      </w:r>
    </w:p>
    <w:p>
      <w:pPr>
        <w:spacing w:line="560" w:lineRule="exact"/>
        <w:ind w:firstLineChars="200" w:firstLine="640"/>
        <w:rPr>
          <w:rFonts w:eastAsia="方正仿宋_GBK"/>
          <w:kern w:val="0"/>
          <w:sz w:val="32"/>
          <w:szCs w:val="32"/>
        </w:rPr>
      </w:pPr>
      <w:r>
        <w:rPr>
          <w:rFonts w:eastAsia="方正仿宋_GBK" w:hint="eastAsia"/>
          <w:b/>
          <w:kern w:val="0"/>
          <w:sz w:val="32"/>
          <w:szCs w:val="32"/>
        </w:rPr>
        <w:t>2. 公务接待费</w:t>
      </w:r>
      <w:r>
        <w:rPr>
          <w:rFonts w:eastAsia="方正仿宋_GBK" w:hint="eastAsia"/>
          <w:kern w:val="0"/>
          <w:sz w:val="32"/>
          <w:szCs w:val="32"/>
        </w:rPr>
        <w:t>预算为1万元，支出决算为0万元，完成年初预算的0% ；较上年无增减。决算数小于预算数的主要原因是惠州海关继续认真贯彻落实“党政机关要坚持过紧日子”要求，厉行节约，从严控制接待经费开支。</w:t>
      </w:r>
    </w:p>
    <w:p>
      <w:pPr>
        <w:autoSpaceDN w:val="0"/>
        <w:spacing w:line="560" w:lineRule="exact"/>
        <w:ind w:firstLineChars="200" w:firstLine="640"/>
        <w:rPr>
          <w:rFonts w:ascii="方正黑体_GBK" w:eastAsia="方正黑体_GBK"/>
          <w:bCs/>
          <w:sz w:val="32"/>
          <w:szCs w:val="32"/>
        </w:rPr>
      </w:pPr>
      <w:r>
        <w:rPr>
          <w:rFonts w:ascii="方正黑体_GBK" w:eastAsia="方正黑体_GBK"/>
          <w:bCs/>
          <w:sz w:val="32"/>
          <w:szCs w:val="32"/>
        </w:rPr>
        <w:t>九</w:t>
      </w:r>
      <w:r>
        <w:rPr>
          <w:rFonts w:ascii="方正黑体_GBK" w:eastAsia="方正黑体_GBK" w:hint="eastAsia"/>
          <w:bCs/>
          <w:sz w:val="32"/>
          <w:szCs w:val="32"/>
        </w:rPr>
        <w:t>、机关运行经费支出说明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惠州海关2025年度机关运行经费支出780万元，比2024年</w:t>
      </w:r>
      <w:r>
        <w:rPr>
          <w:rFonts w:eastAsia="方正仿宋_GBK"/>
          <w:kern w:val="0"/>
          <w:sz w:val="32"/>
          <w:szCs w:val="32"/>
        </w:rPr>
        <w:t>度</w:t>
      </w:r>
      <w:r>
        <w:rPr>
          <w:rFonts w:eastAsia="方正仿宋_GBK" w:hint="eastAsia"/>
          <w:kern w:val="0"/>
          <w:sz w:val="32"/>
          <w:szCs w:val="32"/>
        </w:rPr>
        <w:t>增加2万元，增长0.</w:t>
      </w:r>
      <w:r>
        <w:rPr>
          <w:rFonts w:eastAsia="方正仿宋_GBK"/>
          <w:kern w:val="0"/>
          <w:sz w:val="32"/>
          <w:szCs w:val="32"/>
        </w:rPr>
        <w:t>3</w:t>
      </w:r>
      <w:r>
        <w:rPr>
          <w:rFonts w:eastAsia="方正仿宋_GBK" w:hint="eastAsia"/>
          <w:kern w:val="0"/>
          <w:sz w:val="32"/>
          <w:szCs w:val="32"/>
        </w:rPr>
        <w:t>%。</w:t>
      </w:r>
      <w:r>
        <w:rPr>
          <w:rFonts w:eastAsia="方正仿宋_GBK" w:hint="eastAsia"/>
          <w:sz w:val="32"/>
          <w:szCs w:val="32"/>
        </w:rPr>
        <w:t>主要原因是</w:t>
      </w:r>
      <w:r>
        <w:rPr>
          <w:rFonts w:eastAsia="方正仿宋_GBK" w:hint="eastAsia"/>
          <w:kern w:val="0"/>
          <w:sz w:val="32"/>
          <w:szCs w:val="32"/>
        </w:rPr>
        <w:t>惠州海关本年度业务保障需求增加。</w:t>
      </w:r>
    </w:p>
    <w:p>
      <w:pPr>
        <w:autoSpaceDN w:val="0"/>
        <w:spacing w:line="560" w:lineRule="exact"/>
        <w:ind w:firstLineChars="200" w:firstLine="640"/>
        <w:rPr>
          <w:rFonts w:ascii="方正黑体_GBK" w:eastAsia="方正黑体_GBK"/>
          <w:bCs/>
          <w:sz w:val="32"/>
          <w:szCs w:val="32"/>
        </w:rPr>
      </w:pPr>
      <w:r>
        <w:rPr>
          <w:rFonts w:ascii="方正黑体_GBK" w:eastAsia="方正黑体_GBK"/>
          <w:bCs/>
          <w:sz w:val="32"/>
          <w:szCs w:val="32"/>
        </w:rPr>
        <w:t>十</w:t>
      </w:r>
      <w:r>
        <w:rPr>
          <w:rFonts w:ascii="方正黑体_GBK" w:eastAsia="方正黑体_GBK" w:hint="eastAsia"/>
          <w:bCs/>
          <w:sz w:val="32"/>
          <w:szCs w:val="32"/>
        </w:rPr>
        <w:t>、政府采购支出说明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惠州海关2025年度政府支出总额461.26万元，均为政府采购服务支</w:t>
      </w:r>
      <w:r>
        <w:rPr>
          <w:rFonts w:eastAsia="方正仿宋_GBK"/>
          <w:kern w:val="0"/>
          <w:sz w:val="32"/>
          <w:szCs w:val="32"/>
        </w:rPr>
        <w:t>出</w:t>
      </w:r>
      <w:r>
        <w:rPr>
          <w:rFonts w:eastAsia="方正仿宋_GBK" w:hint="eastAsia"/>
          <w:kern w:val="0"/>
          <w:sz w:val="32"/>
          <w:szCs w:val="32"/>
        </w:rPr>
        <w:t>234.63万元。均为授予中小企业合同金额</w:t>
      </w:r>
      <w:r>
        <w:rPr>
          <w:rFonts w:eastAsia="方正仿宋_GBK"/>
          <w:sz w:val="32"/>
          <w:szCs w:val="32"/>
          <w:lang w:val="zh-TW"/>
        </w:rPr>
        <w:t>495.71</w:t>
      </w:r>
      <w:r>
        <w:rPr>
          <w:rFonts w:eastAsia="方正仿宋_GBK" w:hint="eastAsia"/>
          <w:kern w:val="0"/>
          <w:sz w:val="32"/>
          <w:szCs w:val="32"/>
        </w:rPr>
        <w:t>万元，均属授予小微企业合同金额。</w:t>
      </w: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w:t>
      </w:r>
      <w:r>
        <w:rPr>
          <w:rFonts w:ascii="方正黑体_GBK" w:eastAsia="方正黑体_GBK"/>
          <w:bCs/>
          <w:sz w:val="32"/>
          <w:szCs w:val="32"/>
        </w:rPr>
        <w:t>一</w:t>
      </w:r>
      <w:r>
        <w:rPr>
          <w:rFonts w:ascii="方正黑体_GBK" w:eastAsia="方正黑体_GBK" w:hint="eastAsia"/>
          <w:bCs/>
          <w:sz w:val="32"/>
          <w:szCs w:val="32"/>
        </w:rPr>
        <w:t>、国有资产占用情况说明</w:t>
      </w:r>
    </w:p>
    <w:p>
      <w:pPr>
        <w:autoSpaceDN w:val="0"/>
        <w:spacing w:line="560" w:lineRule="exact"/>
        <w:ind w:firstLineChars="200" w:firstLine="640"/>
        <w:rPr>
          <w:rFonts w:eastAsia="方正仿宋_GBK"/>
          <w:kern w:val="0"/>
          <w:sz w:val="32"/>
          <w:szCs w:val="32"/>
        </w:rPr>
      </w:pPr>
      <w:r>
        <w:rPr>
          <w:rFonts w:eastAsia="方正仿宋_GBK" w:hint="eastAsia"/>
          <w:kern w:val="0"/>
          <w:sz w:val="32"/>
          <w:szCs w:val="32"/>
        </w:rPr>
        <w:t>截至2025年12月31日，惠州海关共有车辆</w:t>
      </w:r>
      <w:r>
        <w:rPr>
          <w:rFonts w:eastAsia="方正仿宋_GBK"/>
          <w:kern w:val="0"/>
          <w:sz w:val="32"/>
          <w:szCs w:val="32"/>
        </w:rPr>
        <w:t>29</w:t>
      </w:r>
      <w:r>
        <w:rPr>
          <w:rFonts w:eastAsia="方正仿宋_GBK" w:hint="eastAsia"/>
          <w:kern w:val="0"/>
          <w:sz w:val="32"/>
          <w:szCs w:val="32"/>
        </w:rPr>
        <w:t>辆（台），其中：</w:t>
      </w:r>
      <w:r>
        <w:rPr>
          <w:rFonts w:eastAsia="方正仿宋_GBK"/>
          <w:kern w:val="0"/>
          <w:sz w:val="32"/>
          <w:szCs w:val="32"/>
        </w:rPr>
        <w:t>机要通信</w:t>
      </w:r>
      <w:r>
        <w:rPr>
          <w:rFonts w:eastAsia="方正仿宋_GBK" w:hint="eastAsia"/>
          <w:kern w:val="0"/>
          <w:sz w:val="32"/>
          <w:szCs w:val="32"/>
        </w:rPr>
        <w:t>用车1辆、应急保障用车1辆、执法执勤用车25辆、其他用车</w:t>
      </w:r>
      <w:r>
        <w:rPr>
          <w:rFonts w:eastAsia="方正仿宋_GBK"/>
          <w:kern w:val="0"/>
          <w:sz w:val="32"/>
          <w:szCs w:val="32"/>
        </w:rPr>
        <w:t>2</w:t>
      </w:r>
      <w:r>
        <w:rPr>
          <w:rFonts w:eastAsia="方正仿宋_GBK" w:hint="eastAsia"/>
          <w:kern w:val="0"/>
          <w:sz w:val="32"/>
          <w:szCs w:val="32"/>
        </w:rPr>
        <w:t>辆，主要是用于机要通信、应急保障</w:t>
      </w:r>
      <w:r>
        <w:rPr>
          <w:rFonts w:eastAsia="方正仿宋_GBK"/>
          <w:kern w:val="0"/>
          <w:sz w:val="32"/>
          <w:szCs w:val="32"/>
        </w:rPr>
        <w:t>、执法执勤和</w:t>
      </w:r>
      <w:r>
        <w:rPr>
          <w:rFonts w:eastAsia="方正仿宋_GBK" w:hint="eastAsia"/>
          <w:kern w:val="0"/>
          <w:sz w:val="32"/>
          <w:szCs w:val="32"/>
        </w:rPr>
        <w:t>执法执勤之外公务用途的车辆；单价100万元（含）以上设备（不含车辆）</w:t>
      </w:r>
      <w:r>
        <w:rPr>
          <w:rFonts w:eastAsia="方正仿宋_GBK"/>
          <w:kern w:val="0"/>
          <w:sz w:val="32"/>
          <w:szCs w:val="32"/>
        </w:rPr>
        <w:t>22</w:t>
      </w:r>
      <w:r>
        <w:rPr>
          <w:rFonts w:eastAsia="方正仿宋_GBK" w:hint="eastAsia"/>
          <w:kern w:val="0"/>
          <w:sz w:val="32"/>
          <w:szCs w:val="32"/>
        </w:rPr>
        <w:t>台（套）。</w:t>
      </w:r>
    </w:p>
    <w:p>
      <w:pPr>
        <w:autoSpaceDN w:val="0"/>
        <w:spacing w:line="560" w:lineRule="exact"/>
        <w:ind w:firstLineChars="200" w:firstLine="640"/>
        <w:rPr>
          <w:rFonts w:ascii="方正黑体_GBK" w:eastAsia="方正黑体_GBK"/>
          <w:bCs/>
          <w:sz w:val="32"/>
          <w:szCs w:val="32"/>
        </w:rPr>
      </w:pPr>
      <w:r>
        <w:rPr>
          <w:rFonts w:ascii="方正黑体_GBK" w:eastAsia="方正黑体_GBK" w:hint="eastAsia"/>
          <w:bCs/>
          <w:sz w:val="32"/>
          <w:szCs w:val="32"/>
        </w:rPr>
        <w:t>十</w:t>
      </w:r>
      <w:r>
        <w:rPr>
          <w:rFonts w:ascii="方正黑体_GBK" w:eastAsia="方正黑体_GBK"/>
          <w:bCs/>
          <w:sz w:val="32"/>
          <w:szCs w:val="32"/>
        </w:rPr>
        <w:t>二</w:t>
      </w:r>
      <w:r>
        <w:rPr>
          <w:rFonts w:ascii="方正黑体_GBK" w:eastAsia="方正黑体_GBK" w:hint="eastAsia"/>
          <w:bCs/>
          <w:sz w:val="32"/>
          <w:szCs w:val="32"/>
        </w:rPr>
        <w:t>、关于2025年度绩效评价情况的说明</w:t>
      </w:r>
    </w:p>
    <w:p>
      <w:pPr>
        <w:autoSpaceDN w:val="0"/>
        <w:spacing w:line="560" w:lineRule="exact"/>
        <w:ind w:firstLineChars="200" w:firstLine="640"/>
        <w:rPr>
          <w:rFonts w:eastAsia="方正仿宋_GBK"/>
          <w:color w:val="FF0000"/>
          <w:sz w:val="32"/>
          <w:szCs w:val="32"/>
        </w:rPr>
      </w:pPr>
      <w:r>
        <w:rPr>
          <w:rFonts w:eastAsia="方正仿宋_GBK" w:hint="eastAsia"/>
          <w:kern w:val="0"/>
          <w:sz w:val="32"/>
          <w:szCs w:val="32"/>
        </w:rPr>
        <w:t>绩效评价工作开展情况。根据预算绩效管理要求，惠州海关组织对2025年度一般公共预算项目支出全面开展绩效自评，其中，一级项目</w:t>
      </w:r>
      <w:r>
        <w:rPr>
          <w:rFonts w:eastAsia="方正仿宋_GBK"/>
          <w:kern w:val="0"/>
          <w:sz w:val="32"/>
          <w:szCs w:val="32"/>
        </w:rPr>
        <w:t>3</w:t>
      </w:r>
      <w:r>
        <w:rPr>
          <w:rFonts w:eastAsia="方正仿宋_GBK" w:hint="eastAsia"/>
          <w:kern w:val="0"/>
          <w:sz w:val="32"/>
          <w:szCs w:val="32"/>
        </w:rPr>
        <w:t>个，二级项目6个，共涉及资金434.5万元，占一般公共预算项目支出总额的100%。</w:t>
      </w:r>
      <w:r>
        <w:rPr>
          <w:rFonts w:eastAsia="方正仿宋_GBK" w:hint="eastAsia"/>
          <w:sz w:val="32"/>
          <w:szCs w:val="32"/>
        </w:rPr>
        <w:t>组织对</w:t>
      </w:r>
      <w:r>
        <w:rPr>
          <w:rFonts w:eastAsia="方正仿宋_GBK"/>
          <w:sz w:val="32"/>
          <w:szCs w:val="32"/>
        </w:rPr>
        <w:t>1</w:t>
      </w:r>
      <w:r>
        <w:rPr>
          <w:rFonts w:eastAsia="方正仿宋_GBK" w:hint="eastAsia"/>
          <w:sz w:val="32"/>
          <w:szCs w:val="32"/>
        </w:rPr>
        <w:t>个政府性基金预算项目支出开展绩效自评，共涉及资金56.24万元，占政府性基金预算项目支出总额的</w:t>
      </w:r>
      <w:r>
        <w:rPr>
          <w:rFonts w:eastAsia="方正仿宋_GBK"/>
          <w:sz w:val="32"/>
          <w:szCs w:val="32"/>
        </w:rPr>
        <w:t>100%</w:t>
      </w:r>
      <w:r>
        <w:rPr>
          <w:rFonts w:eastAsia="方正仿宋_GBK" w:hint="eastAsia"/>
          <w:sz w:val="32"/>
          <w:szCs w:val="32"/>
        </w:rPr>
        <w:t>；无国有资本经营预算项目。</w:t>
      </w:r>
    </w:p>
    <w:p>
      <w:pPr>
        <w:autoSpaceDN w:val="0"/>
        <w:spacing w:line="560" w:lineRule="exact"/>
        <w:ind w:firstLineChars="200" w:firstLine="640"/>
        <w:rPr>
          <w:rFonts w:eastAsia="方正仿宋_GBK"/>
          <w:kern w:val="0"/>
          <w:sz w:val="32"/>
          <w:szCs w:val="32"/>
        </w:rPr>
      </w:pPr>
      <w:r>
        <w:rPr>
          <w:rFonts w:eastAsia="方正仿宋_GBK" w:hint="eastAsia"/>
          <w:sz w:val="32"/>
          <w:szCs w:val="32"/>
        </w:rPr>
        <w:t>部门决算中项目绩效自评结果。具体情况如下：</w:t>
      </w:r>
    </w:p>
    <w:p>
      <w:pPr>
        <w:pStyle w:val="246"/>
        <w:snapToGrid w:val="0"/>
        <w:spacing w:line="560" w:lineRule="exact"/>
        <w:ind w:firstLineChars="200" w:firstLine="640"/>
        <w:rPr>
          <w:rFonts w:eastAsia="方正仿宋_GBK"/>
          <w:sz w:val="32"/>
          <w:szCs w:val="32"/>
        </w:rPr>
      </w:pPr>
      <w:r>
        <w:rPr>
          <w:rFonts w:eastAsia="方正仿宋_GBK"/>
          <w:sz w:val="32"/>
          <w:szCs w:val="32"/>
        </w:rPr>
        <w:t xml:space="preserve">1. </w:t>
      </w:r>
      <w:r>
        <w:rPr>
          <w:rFonts w:eastAsia="方正仿宋_GBK" w:hint="eastAsia"/>
          <w:sz w:val="32"/>
          <w:szCs w:val="32"/>
        </w:rPr>
        <w:t>评价等级为“优”的项目共6个，占</w:t>
      </w:r>
      <w:r>
        <w:rPr>
          <w:rFonts w:eastAsia="方正仿宋_GBK"/>
          <w:sz w:val="32"/>
          <w:szCs w:val="32"/>
        </w:rPr>
        <w:t>8</w:t>
      </w:r>
      <w:r>
        <w:rPr>
          <w:rFonts w:eastAsia="方正仿宋_GBK" w:hint="eastAsia"/>
          <w:sz w:val="32"/>
          <w:szCs w:val="32"/>
        </w:rPr>
        <w:t>5.7</w:t>
      </w:r>
      <w:r>
        <w:rPr>
          <w:rFonts w:eastAsia="方正仿宋_GBK"/>
          <w:sz w:val="32"/>
          <w:szCs w:val="32"/>
        </w:rPr>
        <w:t>%</w:t>
      </w:r>
      <w:r>
        <w:rPr>
          <w:rFonts w:eastAsia="方正仿宋_GBK" w:hint="eastAsia"/>
          <w:sz w:val="32"/>
          <w:szCs w:val="32"/>
        </w:rPr>
        <w:t>，均为项目自评总分在</w:t>
      </w:r>
      <w:r>
        <w:rPr>
          <w:rFonts w:eastAsia="方正仿宋_GBK"/>
          <w:sz w:val="32"/>
          <w:szCs w:val="32"/>
        </w:rPr>
        <w:t>90</w:t>
      </w:r>
      <w:r>
        <w:rPr>
          <w:rFonts w:eastAsia="方正仿宋_GBK" w:hint="eastAsia"/>
          <w:sz w:val="32"/>
          <w:szCs w:val="32"/>
        </w:rPr>
        <w:t>分（含</w:t>
      </w:r>
      <w:r>
        <w:rPr>
          <w:rFonts w:eastAsia="方正仿宋_GBK"/>
          <w:sz w:val="32"/>
          <w:szCs w:val="32"/>
        </w:rPr>
        <w:t>90</w:t>
      </w:r>
      <w:r>
        <w:rPr>
          <w:rFonts w:eastAsia="方正仿宋_GBK" w:hint="eastAsia"/>
          <w:sz w:val="32"/>
          <w:szCs w:val="32"/>
        </w:rPr>
        <w:t>分）至</w:t>
      </w:r>
      <w:r>
        <w:rPr>
          <w:rFonts w:eastAsia="方正仿宋_GBK"/>
          <w:sz w:val="32"/>
          <w:szCs w:val="32"/>
        </w:rPr>
        <w:t>100</w:t>
      </w:r>
      <w:r>
        <w:rPr>
          <w:rFonts w:eastAsia="方正仿宋_GBK" w:hint="eastAsia"/>
          <w:sz w:val="32"/>
          <w:szCs w:val="32"/>
        </w:rPr>
        <w:t>分之间的项目。</w:t>
      </w:r>
    </w:p>
    <w:p>
      <w:pPr>
        <w:autoSpaceDN w:val="0"/>
        <w:snapToGrid w:val="0"/>
        <w:spacing w:line="560" w:lineRule="exact"/>
        <w:ind w:firstLineChars="200" w:firstLine="640"/>
        <w:rPr>
          <w:rFonts w:eastAsia="方正仿宋_GBK"/>
          <w:sz w:val="32"/>
          <w:szCs w:val="32"/>
        </w:rPr>
      </w:pPr>
      <w:r>
        <w:rPr>
          <w:rFonts w:eastAsia="方正仿宋_GBK"/>
          <w:sz w:val="32"/>
          <w:szCs w:val="32"/>
        </w:rPr>
        <w:t xml:space="preserve">2. </w:t>
      </w:r>
      <w:r>
        <w:rPr>
          <w:rFonts w:eastAsia="方正仿宋_GBK" w:hint="eastAsia"/>
          <w:sz w:val="32"/>
          <w:szCs w:val="32"/>
        </w:rPr>
        <w:t>评价等级为“良”的项目有</w:t>
      </w:r>
      <w:r>
        <w:rPr>
          <w:rFonts w:eastAsia="方正仿宋_GBK"/>
          <w:sz w:val="32"/>
          <w:szCs w:val="32"/>
        </w:rPr>
        <w:t>1</w:t>
      </w:r>
      <w:r>
        <w:rPr>
          <w:rFonts w:eastAsia="方正仿宋_GBK" w:hint="eastAsia"/>
          <w:sz w:val="32"/>
          <w:szCs w:val="32"/>
        </w:rPr>
        <w:t>个，占</w:t>
      </w:r>
      <w:r>
        <w:rPr>
          <w:rFonts w:eastAsia="方正仿宋_GBK"/>
          <w:sz w:val="32"/>
          <w:szCs w:val="32"/>
        </w:rPr>
        <w:t>1</w:t>
      </w:r>
      <w:r>
        <w:rPr>
          <w:rFonts w:eastAsia="方正仿宋_GBK" w:hint="eastAsia"/>
          <w:sz w:val="32"/>
          <w:szCs w:val="32"/>
        </w:rPr>
        <w:t>4.</w:t>
      </w:r>
      <w:r>
        <w:rPr>
          <w:rFonts w:eastAsia="方正仿宋_GBK"/>
          <w:sz w:val="32"/>
          <w:szCs w:val="32"/>
        </w:rPr>
        <w:t>3%</w:t>
      </w:r>
      <w:r>
        <w:rPr>
          <w:rFonts w:eastAsia="方正仿宋_GBK" w:hint="eastAsia"/>
          <w:sz w:val="32"/>
          <w:szCs w:val="32"/>
        </w:rPr>
        <w:t>，为预算执行率低于</w:t>
      </w:r>
      <w:r>
        <w:rPr>
          <w:rFonts w:eastAsia="方正仿宋_GBK"/>
          <w:sz w:val="32"/>
          <w:szCs w:val="32"/>
        </w:rPr>
        <w:t>80%</w:t>
      </w:r>
      <w:r>
        <w:rPr>
          <w:rFonts w:eastAsia="方正仿宋_GBK" w:hint="eastAsia"/>
          <w:sz w:val="32"/>
          <w:szCs w:val="32"/>
        </w:rPr>
        <w:t>的项目，根据绩效自评要求，</w:t>
      </w:r>
      <w:r>
        <w:rPr>
          <w:rFonts w:eastAsia="方正仿宋_GBK" w:hint="eastAsia"/>
          <w:bCs/>
          <w:sz w:val="32"/>
          <w:szCs w:val="32"/>
        </w:rPr>
        <w:t>执行率低于</w:t>
      </w:r>
      <w:r>
        <w:rPr>
          <w:rFonts w:eastAsia="方正仿宋_GBK"/>
          <w:bCs/>
          <w:sz w:val="32"/>
          <w:szCs w:val="32"/>
        </w:rPr>
        <w:t>80%</w:t>
      </w:r>
      <w:r>
        <w:rPr>
          <w:rFonts w:eastAsia="方正仿宋_GBK" w:hint="eastAsia"/>
          <w:sz w:val="32"/>
          <w:szCs w:val="32"/>
        </w:rPr>
        <w:t>的项目自评总分</w:t>
      </w:r>
      <w:r>
        <w:rPr>
          <w:rFonts w:eastAsia="方正仿宋_GBK" w:hint="eastAsia"/>
          <w:bCs/>
          <w:sz w:val="32"/>
          <w:szCs w:val="32"/>
        </w:rPr>
        <w:t>不超过</w:t>
      </w:r>
      <w:r>
        <w:rPr>
          <w:rFonts w:eastAsia="方正仿宋_GBK"/>
          <w:bCs/>
          <w:sz w:val="32"/>
          <w:szCs w:val="32"/>
        </w:rPr>
        <w:t>90</w:t>
      </w:r>
      <w:r>
        <w:rPr>
          <w:rFonts w:eastAsia="方正仿宋_GBK" w:hint="eastAsia"/>
          <w:bCs/>
          <w:sz w:val="32"/>
          <w:szCs w:val="32"/>
        </w:rPr>
        <w:t>分，自评等级不得为“优”</w:t>
      </w:r>
      <w:r>
        <w:rPr>
          <w:rFonts w:eastAsia="方正仿宋_GBK" w:hint="eastAsia"/>
          <w:sz w:val="32"/>
          <w:szCs w:val="32"/>
        </w:rPr>
        <w:t>。</w:t>
      </w:r>
    </w:p>
    <w:p>
      <w:pPr>
        <w:autoSpaceDN w:val="0"/>
        <w:spacing w:line="560" w:lineRule="exact"/>
        <w:ind w:firstLineChars="200" w:firstLine="640"/>
        <w:rPr>
          <w:rFonts w:eastAsia="方正仿宋_GBK"/>
          <w:kern w:val="0"/>
          <w:sz w:val="32"/>
          <w:szCs w:val="32"/>
        </w:rPr>
      </w:pPr>
      <w:r>
        <w:rPr>
          <w:rFonts w:eastAsia="方正仿宋_GBK"/>
          <w:sz w:val="32"/>
          <w:szCs w:val="32"/>
        </w:rPr>
        <w:t>3. 无</w:t>
      </w:r>
      <w:r>
        <w:rPr>
          <w:rFonts w:eastAsia="方正仿宋_GBK" w:hint="eastAsia"/>
          <w:sz w:val="32"/>
          <w:szCs w:val="32"/>
        </w:rPr>
        <w:t>评价等级为“中”</w:t>
      </w:r>
      <w:r>
        <w:rPr>
          <w:rFonts w:eastAsia="方正仿宋_GBK"/>
          <w:sz w:val="32"/>
          <w:szCs w:val="32"/>
        </w:rPr>
        <w:t>及以下</w:t>
      </w:r>
      <w:r>
        <w:rPr>
          <w:rFonts w:eastAsia="方正仿宋_GBK" w:hint="eastAsia"/>
          <w:sz w:val="32"/>
          <w:szCs w:val="32"/>
        </w:rPr>
        <w:t>的项目</w:t>
      </w:r>
      <w:r>
        <w:rPr>
          <w:rFonts w:eastAsia="方正仿宋_GBK"/>
          <w:sz w:val="32"/>
          <w:szCs w:val="32"/>
        </w:rPr>
        <w:t>。</w:t>
      </w:r>
    </w:p>
    <w:p>
      <w:pPr>
        <w:autoSpaceDN w:val="0"/>
        <w:spacing w:line="560" w:lineRule="exact"/>
        <w:ind w:firstLineChars="200" w:firstLine="640"/>
        <w:rPr>
          <w:rFonts w:eastAsia="方正仿宋_GBK"/>
          <w:kern w:val="0"/>
          <w:sz w:val="32"/>
          <w:szCs w:val="32"/>
        </w:rPr>
      </w:pPr>
    </w:p>
    <w:p>
      <w:pPr>
        <w:autoSpaceDN w:val="0"/>
        <w:spacing w:line="560" w:lineRule="exact"/>
      </w:pPr>
    </w:p>
    <w:p>
      <w:pPr>
        <w:autoSpaceDN w:val="0"/>
        <w:spacing w:line="560" w:lineRule="exact"/>
        <w:ind w:firstLineChars="300" w:firstLine="630"/>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rPr>
          <w:rFonts w:ascii="黑体" w:eastAsia="黑体" w:cs="黑体"/>
          <w:kern w:val="0"/>
          <w:sz w:val="52"/>
          <w:szCs w:val="52"/>
        </w:rPr>
      </w:pPr>
    </w:p>
    <w:p>
      <w:pPr>
        <w:autoSpaceDN w:val="0"/>
        <w:spacing w:line="560" w:lineRule="exact"/>
        <w:rPr>
          <w:rFonts w:ascii="黑体" w:eastAsia="黑体" w:cs="黑体"/>
          <w:kern w:val="0"/>
          <w:sz w:val="52"/>
          <w:szCs w:val="52"/>
        </w:rPr>
      </w:pPr>
    </w:p>
    <w:p>
      <w:pPr>
        <w:autoSpaceDN w:val="0"/>
        <w:spacing w:line="560" w:lineRule="exact"/>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方正黑体_GBK" w:eastAsia="方正黑体_GBK"/>
          <w:sz w:val="52"/>
          <w:szCs w:val="52"/>
        </w:rPr>
      </w:pPr>
      <w:r>
        <w:rPr>
          <w:rFonts w:ascii="方正黑体_GBK" w:eastAsia="方正黑体_GBK" w:cs="黑体" w:hint="eastAsia"/>
          <w:kern w:val="0"/>
          <w:sz w:val="52"/>
          <w:szCs w:val="52"/>
        </w:rPr>
        <w:t>第四部分  名词解释</w:t>
      </w: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jc w:val="center"/>
        <w:rPr>
          <w:rFonts w:ascii="黑体" w:eastAsia="黑体" w:cs="黑体"/>
          <w:kern w:val="0"/>
          <w:sz w:val="52"/>
          <w:szCs w:val="52"/>
        </w:rPr>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ind w:firstLineChars="300" w:firstLine="630"/>
      </w:pPr>
    </w:p>
    <w:p>
      <w:pPr>
        <w:autoSpaceDN w:val="0"/>
        <w:spacing w:line="560" w:lineRule="exact"/>
      </w:pP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一、一般公共预算财政拨款收入：</w:t>
      </w:r>
      <w:r>
        <w:rPr>
          <w:rFonts w:eastAsia="方正仿宋_GBK" w:hint="eastAsia"/>
          <w:sz w:val="32"/>
          <w:szCs w:val="32"/>
        </w:rPr>
        <w:t>指中央财政当年拨付的资金。</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二、事业收入：</w:t>
      </w:r>
      <w:r>
        <w:rPr>
          <w:rFonts w:eastAsia="方正仿宋_GBK" w:hint="eastAsia"/>
          <w:sz w:val="32"/>
          <w:szCs w:val="32"/>
        </w:rPr>
        <w:t>指事业单位开展专业业务活动及辅助活动所取得的收入。</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三、经营收入：</w:t>
      </w:r>
      <w:r>
        <w:rPr>
          <w:rFonts w:eastAsia="方正仿宋_GBK" w:hint="eastAsia"/>
          <w:sz w:val="32"/>
          <w:szCs w:val="32"/>
        </w:rPr>
        <w:t>指事业单位在专业业务活动及其辅助活动之外开展非独立核算经营活动取得的收入。</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四、其他收入：</w:t>
      </w:r>
      <w:r>
        <w:rPr>
          <w:rFonts w:eastAsia="方正仿宋_GBK" w:hint="eastAsia"/>
          <w:sz w:val="32"/>
          <w:szCs w:val="32"/>
        </w:rPr>
        <w:t>指除上述一般公共预算财政拨款收入、事业收入、事业单位经营收入等以外的收入。主要是非同级财政拨款收入、存款利息收入等。</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五、使用非财政拨款结余：</w:t>
      </w:r>
      <w:r>
        <w:rPr>
          <w:rFonts w:eastAsia="方正仿宋_GBK" w:hint="eastAsia"/>
          <w:sz w:val="32"/>
          <w:szCs w:val="32"/>
        </w:rPr>
        <w:t>指事业单位使用以前年度积累的非财政拨款结余弥补当年收支差额的金额。</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六、年初结转和结余：</w:t>
      </w:r>
      <w:r>
        <w:rPr>
          <w:rFonts w:eastAsia="方正仿宋_GBK" w:hint="eastAsia"/>
          <w:sz w:val="32"/>
          <w:szCs w:val="32"/>
        </w:rPr>
        <w:t>指单位以前年度尚未完成、结转到本年仍按原规定用途继续使用的资金，或项目已完成等产生的结余资金。</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七、一般公共服务（类）海关事务（款）：</w:t>
      </w:r>
      <w:r>
        <w:rPr>
          <w:rFonts w:eastAsia="方正仿宋_GBK" w:hint="eastAsia"/>
          <w:sz w:val="32"/>
          <w:szCs w:val="32"/>
        </w:rPr>
        <w:t>反映海关用于系统行政和事业单位的基本支出及完成专项业务工作的项目支出。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行政运行（项）：</w:t>
      </w:r>
      <w:r>
        <w:rPr>
          <w:rFonts w:eastAsia="方正仿宋_GBK" w:hint="eastAsia"/>
          <w:sz w:val="32"/>
          <w:szCs w:val="32"/>
        </w:rPr>
        <w:t>反映行政单位（包括参照公务员管理的事业单位）的基本支出。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一般行政管理事务（项）：</w:t>
      </w:r>
      <w:r>
        <w:rPr>
          <w:rFonts w:eastAsia="方正仿宋_GBK" w:hint="eastAsia"/>
          <w:sz w:val="32"/>
          <w:szCs w:val="32"/>
        </w:rPr>
        <w:t>反映行政单位（包括参照公务员管理的事业单位）未单独设置项级科目的其他项目支出。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机关服务（项）：</w:t>
      </w:r>
      <w:r>
        <w:rPr>
          <w:rFonts w:eastAsia="方正仿宋_GBK" w:hint="eastAsia"/>
          <w:sz w:val="32"/>
          <w:szCs w:val="32"/>
        </w:rPr>
        <w:t>反映海关系统为行政单位（包括参照公务员管理的事业单位）提供后勤服务的各类后勤服务中心等附属事业单位的支出。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缉私办案（项）：</w:t>
      </w:r>
      <w:r>
        <w:rPr>
          <w:rFonts w:eastAsia="方正仿宋_GBK" w:hint="eastAsia"/>
          <w:sz w:val="32"/>
          <w:szCs w:val="32"/>
        </w:rPr>
        <w:t>反映海关用于缉私办案方面的支出。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口岸管理（项）：</w:t>
      </w:r>
      <w:r>
        <w:rPr>
          <w:rFonts w:eastAsia="方正仿宋_GBK" w:hint="eastAsia"/>
          <w:sz w:val="32"/>
          <w:szCs w:val="32"/>
        </w:rPr>
        <w:t>反映口岸业务管理及电子口岸建设、运行维护方面的支出。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信息化建设（项）：</w:t>
      </w:r>
      <w:r>
        <w:rPr>
          <w:rFonts w:eastAsia="方正仿宋_GBK" w:hint="eastAsia"/>
          <w:sz w:val="32"/>
          <w:szCs w:val="32"/>
        </w:rPr>
        <w:t>反映海关系统用于信息化建设及运行维护方面的支出。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海关关务（项）：</w:t>
      </w:r>
      <w:r>
        <w:rPr>
          <w:rFonts w:eastAsia="方正仿宋_GBK" w:hint="eastAsia"/>
          <w:sz w:val="32"/>
          <w:szCs w:val="32"/>
        </w:rPr>
        <w:t>反映海关行政执法提供业务保障、支持能力以及基础设施建设、设备设施运维等方面的支出。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关税征管（项）：</w:t>
      </w:r>
      <w:r>
        <w:rPr>
          <w:rFonts w:eastAsia="方正仿宋_GBK" w:hint="eastAsia"/>
          <w:sz w:val="32"/>
          <w:szCs w:val="32"/>
        </w:rPr>
        <w:t>反映海关用于关税及其他税费征管方面的支出。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海关监管（项）：</w:t>
      </w:r>
      <w:r>
        <w:rPr>
          <w:rFonts w:eastAsia="方正仿宋_GBK" w:hint="eastAsia"/>
          <w:sz w:val="32"/>
          <w:szCs w:val="32"/>
        </w:rPr>
        <w:t>反映海关用于监管执法、业务管理及相关技术支持方面的支出。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检验检疫（项）：</w:t>
      </w:r>
      <w:r>
        <w:rPr>
          <w:rFonts w:eastAsia="方正仿宋_GBK" w:hint="eastAsia"/>
          <w:sz w:val="32"/>
          <w:szCs w:val="32"/>
        </w:rPr>
        <w:t>反映海关用于出入境检验检疫行政执法、业务管理及相关技术支持方面的支出。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事业运行（项）：</w:t>
      </w:r>
      <w:r>
        <w:rPr>
          <w:rFonts w:eastAsia="方正仿宋_GBK" w:hint="eastAsia"/>
          <w:sz w:val="32"/>
          <w:szCs w:val="32"/>
        </w:rPr>
        <w:t>反映海关事业单位的基本支出，不包括行政单位（包括参照公务员管理的事业单位）后勤服务中心等附属事业单位。</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其他海关事务支出（项）</w:t>
      </w:r>
      <w:r>
        <w:rPr>
          <w:rFonts w:eastAsia="方正仿宋_GBK" w:hint="eastAsia"/>
          <w:sz w:val="32"/>
          <w:szCs w:val="32"/>
        </w:rPr>
        <w:t>反映除上述项目以外其他海关事务方面的支出。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八、一般公共服务（类）纪检监察事务（款）派驻派出机构（项）：</w:t>
      </w:r>
      <w:r>
        <w:rPr>
          <w:rFonts w:eastAsia="方正仿宋_GBK" w:hint="eastAsia"/>
          <w:sz w:val="32"/>
          <w:szCs w:val="32"/>
        </w:rPr>
        <w:t>反映由纪检监察部门负担的派驻各部门和单位的纪检监察人员的专项业务支出。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九、外交支出（类）对外援助（款）对外援助（项）：</w:t>
      </w:r>
      <w:r>
        <w:rPr>
          <w:rFonts w:eastAsia="方正仿宋_GBK" w:hint="eastAsia"/>
          <w:sz w:val="32"/>
          <w:szCs w:val="32"/>
        </w:rPr>
        <w:t>反映海关对外国政府（地区）提供的各种援助和技术合作支出。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十、外交支出（类）国际组织（款）国际组织会费（项）：</w:t>
      </w:r>
      <w:r>
        <w:rPr>
          <w:rFonts w:eastAsia="方正仿宋_GBK" w:hint="eastAsia"/>
          <w:sz w:val="32"/>
          <w:szCs w:val="32"/>
        </w:rPr>
        <w:t>反映海关经批准参加国际组织，按国际组织规定缴纳的会费。</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十一、外交支出（类）国际组织（款）国际组织捐赠（项）：</w:t>
      </w:r>
      <w:r>
        <w:rPr>
          <w:rFonts w:eastAsia="方正仿宋_GBK" w:hint="eastAsia"/>
          <w:sz w:val="32"/>
          <w:szCs w:val="32"/>
        </w:rPr>
        <w:t>反映以我国政府（包括国务院主管部门），向国际组织的认捐、救灾、馈赠等支出。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十二、外交支出（类）其他外交支出（款）其他外交支出（项）：</w:t>
      </w:r>
      <w:r>
        <w:rPr>
          <w:rFonts w:eastAsia="方正仿宋_GBK" w:hint="eastAsia"/>
          <w:sz w:val="32"/>
          <w:szCs w:val="32"/>
        </w:rPr>
        <w:t>反映除上述项目以外其他用于外交方面的支出。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十三、公共安全支出（类）缉私警察（款）：</w:t>
      </w:r>
      <w:r>
        <w:rPr>
          <w:rFonts w:eastAsia="方正仿宋_GBK" w:hint="eastAsia"/>
          <w:sz w:val="32"/>
          <w:szCs w:val="32"/>
        </w:rPr>
        <w:t>反映海关缉私警察的支出。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行政运行（项）：</w:t>
      </w:r>
      <w:r>
        <w:rPr>
          <w:rFonts w:eastAsia="方正仿宋_GBK" w:hint="eastAsia"/>
          <w:sz w:val="32"/>
          <w:szCs w:val="32"/>
        </w:rPr>
        <w:t>反映行政单位（包括参照公务员管理的事业单位）的基本支出。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一般行政管理事务（项）：</w:t>
      </w:r>
      <w:r>
        <w:rPr>
          <w:rFonts w:eastAsia="方正仿宋_GBK" w:hint="eastAsia"/>
          <w:sz w:val="32"/>
          <w:szCs w:val="32"/>
        </w:rPr>
        <w:t>反映行政单位（包括参照公务员管理的事业单位）未单独设置项级科目的其他项目支出。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信息化建设（项）：</w:t>
      </w:r>
      <w:r>
        <w:rPr>
          <w:rFonts w:eastAsia="方正仿宋_GBK" w:hint="eastAsia"/>
          <w:sz w:val="32"/>
          <w:szCs w:val="32"/>
        </w:rPr>
        <w:t>反映缉私警察于信息化建设和运行维护方面的支出。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缉私业务（项）：</w:t>
      </w:r>
      <w:r>
        <w:rPr>
          <w:rFonts w:eastAsia="方正仿宋_GBK" w:hint="eastAsia"/>
          <w:sz w:val="32"/>
          <w:szCs w:val="32"/>
        </w:rPr>
        <w:t>反映缉私警察开展执法工作，打击走私犯罪活动的支出。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其他缉私警察支出（项）：</w:t>
      </w:r>
      <w:r>
        <w:rPr>
          <w:rFonts w:eastAsia="方正仿宋_GBK" w:hint="eastAsia"/>
          <w:sz w:val="32"/>
          <w:szCs w:val="32"/>
        </w:rPr>
        <w:t>反映除上述项目以外其他缉私警察方面的支出。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十四、教育支出（类）普通教育（款）高等教育（项）：</w:t>
      </w:r>
      <w:r>
        <w:rPr>
          <w:rFonts w:eastAsia="方正仿宋_GBK" w:hint="eastAsia"/>
          <w:sz w:val="32"/>
          <w:szCs w:val="32"/>
        </w:rPr>
        <w:t>反映各部门举办的普通本科（包括研究生）教育支出。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十五、社会保障和就业支出（类）人力资源和社会保障管理事务（款）政府特殊津贴（项）：</w:t>
      </w:r>
      <w:r>
        <w:rPr>
          <w:rFonts w:eastAsia="方正仿宋_GBK" w:hint="eastAsia"/>
          <w:sz w:val="32"/>
          <w:szCs w:val="32"/>
        </w:rPr>
        <w:t>反映海关与政府特殊津贴相关的支出。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十六、社会保障和就业支出（类）行政事业单位养老支出（款）：</w:t>
      </w:r>
      <w:r>
        <w:rPr>
          <w:rFonts w:eastAsia="方正仿宋_GBK" w:hint="eastAsia"/>
          <w:sz w:val="32"/>
          <w:szCs w:val="32"/>
        </w:rPr>
        <w:t>反映用于海关行政事业单位离退休方面的支出。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行政单位离退休（项）：</w:t>
      </w:r>
      <w:r>
        <w:rPr>
          <w:rFonts w:eastAsia="方正仿宋_GBK" w:hint="eastAsia"/>
          <w:sz w:val="32"/>
          <w:szCs w:val="32"/>
        </w:rPr>
        <w:t>反映海关系统行政单位（包括参照公务员管理的事业单位）开支的离退休支出。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事业单位离退休（项）：</w:t>
      </w:r>
      <w:r>
        <w:rPr>
          <w:rFonts w:eastAsia="方正仿宋_GBK" w:hint="eastAsia"/>
          <w:sz w:val="32"/>
          <w:szCs w:val="32"/>
        </w:rPr>
        <w:t>反映海关系统事业单位开支的离退休经费。</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离退休人员管理机构（项）：</w:t>
      </w:r>
      <w:r>
        <w:rPr>
          <w:rFonts w:eastAsia="方正仿宋_GBK" w:hint="eastAsia"/>
          <w:sz w:val="32"/>
          <w:szCs w:val="32"/>
        </w:rPr>
        <w:t>反映海关系统为离退休人员提供管理服务的离退休管理机构的支出。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机关事业单位基本养老保险缴费支出（项）：</w:t>
      </w:r>
      <w:r>
        <w:rPr>
          <w:rFonts w:eastAsia="方正仿宋_GBK" w:hint="eastAsia"/>
          <w:sz w:val="32"/>
          <w:szCs w:val="32"/>
        </w:rPr>
        <w:t>反映机关事业单位实施养老保险制度由单位缴纳的基本养老保险费支出。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机关事业单位职业年金缴费支出（项）：</w:t>
      </w:r>
      <w:r>
        <w:rPr>
          <w:rFonts w:eastAsia="方正仿宋_GBK" w:hint="eastAsia"/>
          <w:sz w:val="32"/>
          <w:szCs w:val="32"/>
        </w:rPr>
        <w:t>反映机关事业单位实施养老保险制度由单位实际缴纳的职业年金支出。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十七、卫生健康支出（类）行政事业单位医疗（款）：</w:t>
      </w:r>
      <w:r>
        <w:rPr>
          <w:rFonts w:eastAsia="方正仿宋_GBK" w:hint="eastAsia"/>
          <w:sz w:val="32"/>
          <w:szCs w:val="32"/>
        </w:rPr>
        <w:t>反映行政事业单位医疗方面的支出。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行政单位医疗（项）：</w:t>
      </w:r>
      <w:r>
        <w:rPr>
          <w:rFonts w:eastAsia="方正仿宋_GBK" w:hint="eastAsia"/>
          <w:sz w:val="32"/>
          <w:szCs w:val="32"/>
        </w:rPr>
        <w:t>反映财政部门安排的行政单位（包括参照公务员管理的事业单位）基本医疗保险缴费经费，未参加医疗保险的行政单位的公费医疗经费，按国家规定享受离休人员、红军老战士待遇人员的医疗经费。</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事业单位医疗（项）：</w:t>
      </w:r>
      <w:r>
        <w:rPr>
          <w:rFonts w:eastAsia="方正仿宋_GBK" w:hint="eastAsia"/>
          <w:sz w:val="32"/>
          <w:szCs w:val="32"/>
        </w:rPr>
        <w:t>反映财政部门安排的事业单位基本医疗保险缴费经费，未参加医疗保险的事业单位的公费医疗经费，按国家规定享受离休人员待遇的医疗经费。</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公务员医疗补助（项）：</w:t>
      </w:r>
      <w:r>
        <w:rPr>
          <w:rFonts w:eastAsia="方正仿宋_GBK" w:hint="eastAsia"/>
          <w:sz w:val="32"/>
          <w:szCs w:val="32"/>
        </w:rPr>
        <w:t>反映财政部门安排的公务员医疗补助经费。</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十八、住房保障支出（类）住房改革支出（款）：</w:t>
      </w:r>
      <w:r>
        <w:rPr>
          <w:rFonts w:eastAsia="方正仿宋_GBK" w:hint="eastAsia"/>
          <w:sz w:val="32"/>
          <w:szCs w:val="32"/>
        </w:rPr>
        <w:t>反映行政事业单位用财政拨款资金和其他资金等安排的住房改革支出。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住房公积金（项）：</w:t>
      </w:r>
      <w:r>
        <w:rPr>
          <w:rFonts w:eastAsia="方正仿宋_GBK" w:hint="eastAsia"/>
          <w:sz w:val="32"/>
          <w:szCs w:val="32"/>
        </w:rPr>
        <w:t>反映行政事业单位按人力资源和社会保障部、财政部规定的基本工资和津贴补贴以及规定比例为职工缴纳的住房公积金。</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提租补贴（项）：</w:t>
      </w:r>
      <w:r>
        <w:rPr>
          <w:rFonts w:eastAsia="方正仿宋_GBK" w:hint="eastAsia"/>
          <w:sz w:val="32"/>
          <w:szCs w:val="32"/>
        </w:rPr>
        <w:t>反映按房改政策规定的标准，行政事业单位向职工（含离退休人员）发放的租金补贴。</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购房补贴（项）：</w:t>
      </w:r>
      <w:r>
        <w:rPr>
          <w:rFonts w:eastAsia="方正仿宋_GBK" w:hint="eastAsia"/>
          <w:sz w:val="32"/>
          <w:szCs w:val="32"/>
        </w:rPr>
        <w:t>反映按房改政策规定，行政事业单位向符合条件的职工（含离退休人员）发放的用于购买住房的补贴。</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十九、结余分配：</w:t>
      </w:r>
      <w:r>
        <w:rPr>
          <w:rFonts w:eastAsia="方正仿宋_GBK" w:hint="eastAsia"/>
          <w:sz w:val="32"/>
          <w:szCs w:val="32"/>
        </w:rPr>
        <w:t>指事业单位按照政府会计制度的规定缴纳的所得税、提取的专用结余以及转入非财政拨款结余的金额等。</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二十、年末结转和结余：</w:t>
      </w:r>
      <w:r>
        <w:rPr>
          <w:rFonts w:eastAsia="方正仿宋_GBK" w:hint="eastAsia"/>
          <w:sz w:val="32"/>
          <w:szCs w:val="32"/>
        </w:rPr>
        <w:t>指单位按有关规定结转到下年或以后年度继续使用的资金，或项目已完成等产生的结余资金。</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二十一、基本支出：</w:t>
      </w:r>
      <w:r>
        <w:rPr>
          <w:rFonts w:eastAsia="方正仿宋_GBK" w:hint="eastAsia"/>
          <w:sz w:val="32"/>
          <w:szCs w:val="32"/>
        </w:rPr>
        <w:t>指为保障机构正常运转、完成日常工作任务而发生的人员支出和公用支出。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二十二、项目支出：</w:t>
      </w:r>
      <w:r>
        <w:rPr>
          <w:rFonts w:eastAsia="方正仿宋_GBK" w:hint="eastAsia"/>
          <w:sz w:val="32"/>
          <w:szCs w:val="32"/>
        </w:rPr>
        <w:t>指在基本支出之外为完成特定行政任务或事业发展目标所发生的支出。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二十三、经营支出：</w:t>
      </w:r>
      <w:r>
        <w:rPr>
          <w:rFonts w:eastAsia="方正仿宋_GBK" w:hint="eastAsia"/>
          <w:sz w:val="32"/>
          <w:szCs w:val="32"/>
        </w:rPr>
        <w:t>指事业单位在专业业务活动及其辅助活动之外开展非独立核算经营活动发生的支出。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二十四、“三公经费”：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按规定保留的公务用车车辆燃料费、维修费、过桥过路费、保险费、安全奖励费用等支出；公务接待费反映单位按规定开支的各类公务接待（含外宾接待）支出。</w:t>
      </w:r>
    </w:p>
    <w:p>
      <w:pPr>
        <w:pStyle w:val="31"/>
        <w:snapToGrid w:val="0"/>
        <w:spacing w:line="560" w:lineRule="exact"/>
        <w:ind w:firstLineChars="200" w:firstLine="640"/>
        <w:rPr>
          <w:rFonts w:eastAsia="方正仿宋_GBK"/>
          <w:sz w:val="32"/>
          <w:szCs w:val="32"/>
        </w:rPr>
      </w:pPr>
      <w:r>
        <w:rPr>
          <w:rFonts w:eastAsia="方正仿宋_GBK" w:hint="eastAsia"/>
          <w:b/>
          <w:sz w:val="32"/>
          <w:szCs w:val="32"/>
        </w:rPr>
        <w:t>二十五、机关运行经费：</w:t>
      </w:r>
      <w:r>
        <w:rPr>
          <w:rFonts w:eastAsia="方正仿宋_GBK"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640"/>
        <w:rPr>
          <w:rFonts w:eastAsia="方正仿宋_GBK"/>
          <w:sz w:val="32"/>
          <w:szCs w:val="32"/>
        </w:rPr>
      </w:pPr>
    </w:p>
    <w:p>
      <w:pPr>
        <w:pStyle w:val="31"/>
        <w:snapToGrid w:val="0"/>
        <w:spacing w:line="560" w:lineRule="exact"/>
        <w:ind w:firstLineChars="200" w:firstLine="1040"/>
        <w:jc w:val="center"/>
        <w:rPr>
          <w:rFonts w:eastAsia="方正仿宋_GBK"/>
          <w:sz w:val="32"/>
          <w:szCs w:val="32"/>
        </w:rPr>
      </w:pPr>
      <w:r>
        <w:rPr>
          <w:rFonts w:ascii="方正黑体_GBK" w:eastAsia="方正黑体_GBK" w:cs="黑体" w:hint="eastAsia"/>
          <w:kern w:val="0"/>
          <w:sz w:val="52"/>
          <w:szCs w:val="52"/>
        </w:rPr>
        <w:t>第</w:t>
      </w:r>
      <w:r>
        <w:rPr>
          <w:rFonts w:ascii="方正黑体_GBK" w:eastAsia="方正黑体_GBK" w:cs="黑体"/>
          <w:kern w:val="0"/>
          <w:sz w:val="52"/>
          <w:szCs w:val="52"/>
        </w:rPr>
        <w:t>五</w:t>
      </w:r>
      <w:r>
        <w:rPr>
          <w:rFonts w:ascii="方正黑体_GBK" w:eastAsia="方正黑体_GBK" w:cs="黑体" w:hint="eastAsia"/>
          <w:kern w:val="0"/>
          <w:sz w:val="52"/>
          <w:szCs w:val="52"/>
        </w:rPr>
        <w:t>部分  附件</w:t>
      </w: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ind w:firstLineChars="200" w:firstLine="640"/>
        <w:jc w:val="center"/>
        <w:rPr>
          <w:rFonts w:eastAsia="方正仿宋_GBK"/>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r>
        <w:rPr>
          <w:rFonts w:eastAsia="方正仿宋_GBK" w:hint="eastAsia"/>
          <w:sz w:val="32"/>
          <w:szCs w:val="32"/>
        </w:rPr>
        <w:drawing>
          <wp:anchor distT="0" distB="0" distL="114300" distR="114300" simplePos="0" relativeHeight="31" behindDoc="0" locked="0" layoutInCell="1" hidden="0" allowOverlap="1">
            <wp:simplePos x="0" y="0"/>
            <wp:positionH relativeFrom="column">
              <wp:posOffset>71755</wp:posOffset>
            </wp:positionH>
            <wp:positionV relativeFrom="paragraph">
              <wp:posOffset>-635</wp:posOffset>
            </wp:positionV>
            <wp:extent cx="5730240" cy="6868160"/>
            <wp:effectExtent l="0" t="0" r="0" b="0"/>
            <wp:wrapNone/>
            <wp:docPr id="19" name="图片 4"/>
            <wp:cNvGraphicFramePr>
              <a:graphicFrameLocks noChangeAspect="1"/>
            </wp:cNvGraphicFramePr>
            <a:graphic>
              <a:graphicData uri="http://schemas.openxmlformats.org/drawingml/2006/picture">
                <pic:pic>
                  <pic:nvPicPr>
                    <pic:cNvPr id="21" name="图片 4 21"/>
                    <pic:cNvPicPr/>
                  </pic:nvPicPr>
                  <pic:blipFill>
                    <a:blip r:embed="rId10"/>
                    <a:stretch>
                      <a:fillRect/>
                    </a:stretch>
                  </pic:blipFill>
                  <pic:spPr>
                    <a:xfrm rot="0">
                      <a:off x="0" y="0"/>
                      <a:ext cx="5730240" cy="6868160"/>
                    </a:xfrm>
                    <a:prstGeom prst="rect"/>
                    <a:noFill/>
                    <a:ln w="9525" cmpd="sng" cap="flat">
                      <a:noFill/>
                      <a:prstDash val="solid"/>
                      <a:miter/>
                    </a:ln>
                  </pic:spPr>
                </pic:pic>
              </a:graphicData>
            </a:graphic>
          </wp:anchor>
        </w:drawing>
      </w: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r>
        <w:rPr>
          <w:rFonts w:eastAsia="方正仿宋_GBK" w:hint="eastAsia"/>
          <w:sz w:val="32"/>
          <w:szCs w:val="32"/>
        </w:rPr>
        <w:drawing>
          <wp:anchor distT="0" distB="0" distL="114300" distR="114300" simplePos="0" relativeHeight="30" behindDoc="0" locked="0" layoutInCell="1" hidden="0" allowOverlap="1">
            <wp:simplePos x="0" y="0"/>
            <wp:positionH relativeFrom="column">
              <wp:posOffset>19050</wp:posOffset>
            </wp:positionH>
            <wp:positionV relativeFrom="paragraph">
              <wp:posOffset>100077</wp:posOffset>
            </wp:positionV>
            <wp:extent cx="5722531" cy="7623544"/>
            <wp:effectExtent l="0" t="0" r="0" b="0"/>
            <wp:wrapNone/>
            <wp:docPr id="22" name="图片 3"/>
            <wp:cNvGraphicFramePr>
              <a:graphicFrameLocks noChangeAspect="1"/>
            </wp:cNvGraphicFramePr>
            <a:graphic>
              <a:graphicData uri="http://schemas.openxmlformats.org/drawingml/2006/picture">
                <pic:pic>
                  <pic:nvPicPr>
                    <pic:cNvPr id="24" name="图片 3 24"/>
                    <pic:cNvPicPr/>
                  </pic:nvPicPr>
                  <pic:blipFill>
                    <a:blip r:embed="rId11"/>
                    <a:stretch>
                      <a:fillRect/>
                    </a:stretch>
                  </pic:blipFill>
                  <pic:spPr>
                    <a:xfrm rot="0">
                      <a:off x="0" y="0"/>
                      <a:ext cx="5722531" cy="7623544"/>
                    </a:xfrm>
                    <a:prstGeom prst="rect"/>
                    <a:noFill/>
                    <a:ln w="9525" cmpd="sng" cap="flat">
                      <a:noFill/>
                      <a:prstDash val="solid"/>
                      <a:miter/>
                    </a:ln>
                  </pic:spPr>
                </pic:pic>
              </a:graphicData>
            </a:graphic>
          </wp:anchor>
        </w:drawing>
      </w:r>
      <w:r>
        <w:rPr>
          <w:rFonts w:eastAsia="方正仿宋_GBK" w:hint="eastAsia"/>
          <w:sz w:val="32"/>
          <w:szCs w:val="32"/>
        </w:rPr>
        <w:t>]</w:t>
      </w: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r>
        <w:rPr>
          <w:rFonts w:eastAsia="方正仿宋_GBK" w:hint="eastAsia"/>
          <w:sz w:val="32"/>
          <w:szCs w:val="32"/>
        </w:rPr>
        <w:drawing>
          <wp:anchor distT="0" distB="0" distL="114300" distR="114300" simplePos="0" relativeHeight="32" behindDoc="0" locked="0" layoutInCell="1" hidden="0" allowOverlap="1">
            <wp:simplePos x="0" y="0"/>
            <wp:positionH relativeFrom="column">
              <wp:posOffset>19050</wp:posOffset>
            </wp:positionH>
            <wp:positionV relativeFrom="paragraph">
              <wp:posOffset>4445</wp:posOffset>
            </wp:positionV>
            <wp:extent cx="5728970" cy="8208010"/>
            <wp:effectExtent l="0" t="0" r="0" b="0"/>
            <wp:wrapNone/>
            <wp:docPr id="25" name="图片 5"/>
            <wp:cNvGraphicFramePr>
              <a:graphicFrameLocks noChangeAspect="1"/>
            </wp:cNvGraphicFramePr>
            <a:graphic>
              <a:graphicData uri="http://schemas.openxmlformats.org/drawingml/2006/picture">
                <pic:pic>
                  <pic:nvPicPr>
                    <pic:cNvPr id="27" name="图片 5 27"/>
                    <pic:cNvPicPr/>
                  </pic:nvPicPr>
                  <pic:blipFill>
                    <a:blip r:embed="rId12"/>
                    <a:stretch>
                      <a:fillRect/>
                    </a:stretch>
                  </pic:blipFill>
                  <pic:spPr>
                    <a:xfrm rot="0">
                      <a:off x="0" y="0"/>
                      <a:ext cx="5728970" cy="8208010"/>
                    </a:xfrm>
                    <a:prstGeom prst="rect"/>
                    <a:noFill/>
                    <a:ln w="9525" cmpd="sng" cap="flat">
                      <a:noFill/>
                      <a:prstDash val="solid"/>
                      <a:miter/>
                    </a:ln>
                  </pic:spPr>
                </pic:pic>
              </a:graphicData>
            </a:graphic>
          </wp:anchor>
        </w:drawing>
      </w: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hint="eastAsia"/>
          <w:sz w:val="32"/>
          <w:szCs w:val="32"/>
        </w:rPr>
      </w:pPr>
    </w:p>
    <w:p>
      <w:pPr>
        <w:pStyle w:val="31"/>
        <w:snapToGrid w:val="0"/>
        <w:spacing w:line="560" w:lineRule="exact"/>
        <w:rPr>
          <w:rFonts w:eastAsia="方正仿宋_GBK"/>
          <w:sz w:val="32"/>
          <w:szCs w:val="32"/>
        </w:rPr>
      </w:pPr>
    </w:p>
    <w:p/>
    <w:p/>
    <w:p/>
    <w:p/>
    <w:p/>
    <w:p/>
    <w:p/>
    <w:p/>
    <w:p/>
    <w:p/>
    <w:p/>
    <w:p/>
    <w:p/>
    <w:p/>
    <w:p/>
    <w:p/>
    <w:p/>
    <w:p/>
    <w:p/>
    <w:p/>
    <w:p/>
    <w:p/>
    <w:p/>
    <w:p/>
    <w:p/>
    <w:p/>
    <w:p/>
    <w:p/>
    <w:p/>
    <w:p/>
    <w:p/>
    <w:p/>
    <w:p/>
    <w:p/>
    <w:p>
      <w:pPr>
        <w:rPr>
          <w:rFonts w:hint="eastAsia"/>
        </w:rPr>
      </w:pPr>
    </w:p>
    <w:p>
      <w:pPr>
        <w:rPr>
          <w:rFonts w:hint="eastAsia"/>
        </w:rPr>
      </w:pPr>
      <w:r>
        <w:drawing>
          <wp:inline distT="0" distB="0" distL="0" distR="0">
            <wp:extent cx="5715317" cy="7347097"/>
            <wp:effectExtent l="0" t="0" r="0" b="0"/>
            <wp:docPr id="28" name="图片 2"/>
            <wp:cNvGraphicFramePr>
              <a:graphicFrameLocks noChangeAspect="1"/>
            </wp:cNvGraphicFramePr>
            <a:graphic>
              <a:graphicData uri="http://schemas.openxmlformats.org/drawingml/2006/picture">
                <pic:pic>
                  <pic:nvPicPr>
                    <pic:cNvPr id="30" name="图片 2 30"/>
                    <pic:cNvPicPr/>
                  </pic:nvPicPr>
                  <pic:blipFill>
                    <a:blip r:embed="rId13"/>
                    <a:stretch>
                      <a:fillRect/>
                    </a:stretch>
                  </pic:blipFill>
                  <pic:spPr>
                    <a:xfrm rot="0">
                      <a:off x="0" y="0"/>
                      <a:ext cx="5715317" cy="7347097"/>
                    </a:xfrm>
                    <a:prstGeom prst="rect"/>
                    <a:noFill/>
                    <a:ln w="9525" cmpd="sng" cap="flat">
                      <a:noFill/>
                      <a:prstDash val="solid"/>
                      <a:miter/>
                    </a:ln>
                  </pic:spPr>
                </pic:pic>
              </a:graphicData>
            </a:graphic>
          </wp:inline>
        </w:drawing>
      </w:r>
    </w:p>
    <w:p>
      <w:pPr>
        <w:rPr>
          <w:rFonts w:hint="eastAsia"/>
        </w:rPr>
      </w:pPr>
    </w:p>
    <w:p/>
    <w:p/>
    <w:p/>
    <w:p/>
    <w:p>
      <w:pPr>
        <w:rPr>
          <w:rFonts w:hint="eastAsia"/>
        </w:rPr>
      </w:pPr>
    </w:p>
    <w:p>
      <w:pPr>
        <w:rPr>
          <w:rFonts w:hint="eastAsia"/>
        </w:rPr>
      </w:pPr>
      <w:r>
        <w:rPr>
          <w:rFonts w:hint="eastAsia"/>
        </w:rPr>
        <w:drawing>
          <wp:inline distT="0" distB="0" distL="0" distR="0">
            <wp:extent cx="5560828" cy="8357190"/>
            <wp:effectExtent l="0" t="0" r="0" b="0"/>
            <wp:docPr id="31" name="图片 8"/>
            <wp:cNvGraphicFramePr>
              <a:graphicFrameLocks noChangeAspect="1"/>
            </wp:cNvGraphicFramePr>
            <a:graphic>
              <a:graphicData uri="http://schemas.openxmlformats.org/drawingml/2006/picture">
                <pic:pic>
                  <pic:nvPicPr>
                    <pic:cNvPr id="33" name="图片 8 33"/>
                    <pic:cNvPicPr/>
                  </pic:nvPicPr>
                  <pic:blipFill>
                    <a:blip r:embed="rId14"/>
                    <a:stretch>
                      <a:fillRect/>
                    </a:stretch>
                  </pic:blipFill>
                  <pic:spPr>
                    <a:xfrm rot="0">
                      <a:off x="0" y="0"/>
                      <a:ext cx="5560828" cy="8357190"/>
                    </a:xfrm>
                    <a:prstGeom prst="rect"/>
                    <a:noFill/>
                    <a:ln w="9525" cmpd="sng" cap="flat">
                      <a:noFill/>
                      <a:prstDash val="solid"/>
                      <a:miter/>
                    </a:ln>
                  </pic:spPr>
                </pic:pic>
              </a:graphicData>
            </a:graphic>
          </wp:inline>
        </w:drawing>
      </w:r>
    </w:p>
    <w:p>
      <w:pPr>
        <w:rPr>
          <w:rFonts w:hint="eastAsia"/>
        </w:rPr>
      </w:pPr>
    </w:p>
    <w:p>
      <w:r>
        <w:drawing>
          <wp:inline distT="0" distB="0" distL="0" distR="0">
            <wp:extent cx="5732143" cy="8110783"/>
            <wp:effectExtent l="0" t="0" r="0" b="0"/>
            <wp:docPr id="34" name="图片 7"/>
            <wp:cNvGraphicFramePr>
              <a:graphicFrameLocks noChangeAspect="1"/>
            </wp:cNvGraphicFramePr>
            <a:graphic>
              <a:graphicData uri="http://schemas.openxmlformats.org/drawingml/2006/picture">
                <pic:pic>
                  <pic:nvPicPr>
                    <pic:cNvPr id="36" name="图片 7 36"/>
                    <pic:cNvPicPr/>
                  </pic:nvPicPr>
                  <pic:blipFill>
                    <a:blip r:embed="rId15"/>
                    <a:stretch>
                      <a:fillRect/>
                    </a:stretch>
                  </pic:blipFill>
                  <pic:spPr>
                    <a:xfrm rot="0">
                      <a:off x="0" y="0"/>
                      <a:ext cx="5732143" cy="8110783"/>
                    </a:xfrm>
                    <a:prstGeom prst="rect"/>
                    <a:noFill/>
                    <a:ln w="9525" cmpd="sng" cap="flat">
                      <a:noFill/>
                      <a:prstDash val="solid"/>
                      <a:miter/>
                    </a:ln>
                  </pic:spPr>
                </pic:pic>
              </a:graphicData>
            </a:graphic>
          </wp:inline>
        </w:drawing>
      </w:r>
    </w:p>
    <w:sectPr>
      <w:pgSz w:w="11907" w:h="16840"/>
      <w:pgMar w:top="1701" w:right="1440" w:bottom="709" w:left="144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0000000000000000000"/>
    <w:charset w:val="00"/>
    <w:family w:val="auto"/>
    <w:pitch w:val="variable"/>
    <w:sig w:usb0="00000000" w:usb1="00000000" w:usb2="00000000" w:usb3="00000000" w:csb0="00000000" w:csb1="00000000"/>
  </w:font>
  <w:font w:name="仿宋">
    <w:panose1 w:val="02010609060101010101"/>
    <w:charset w:val="86"/>
    <w:family w:val="modern"/>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9"/>
      <w:tabs>
        <w:tab w:val="center" w:pos="4153"/>
        <w:tab w:val="right" w:pos="8306"/>
      </w:tabs>
      <w:jc w:val="center"/>
    </w:pPr>
  </w:p>
  <w:p>
    <w:pPr>
      <w:pStyle w:val="39"/>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9"/>
      <w:tabs>
        <w:tab w:val="left" w:pos="620"/>
        <w:tab w:val="center" w:pos="4153"/>
        <w:tab w:val="center" w:pos="4513"/>
        <w:tab w:val="right" w:pos="8306"/>
      </w:tabs>
      <w:rPr>
        <w:b/>
      </w:rPr>
    </w:pPr>
    <w:r>
      <w:rPr>
        <w:b/>
      </w:rPr>
      <w:tab/>
      <w:tab/>
      <w:tab/>
    </w:r>
    <w:r>
      <w:rPr>
        <w:b/>
      </w:rPr>
      <w:fldChar w:fldCharType="begin"/>
    </w:r>
    <w:r>
      <w:rPr>
        <w:b/>
      </w:rPr>
      <w:instrText>PAGE   \* MERGEFORMAT</w:instrText>
    </w:r>
    <w:r>
      <w:rPr>
        <w:b/>
      </w:rPr>
      <w:fldChar w:fldCharType="separate"/>
    </w:r>
    <w:r>
      <w:rPr>
        <w:b/>
        <w:lang w:val="zh-CN"/>
      </w:rPr>
      <w:t>27</w:t>
    </w:r>
    <w:r>
      <w:rPr>
        <w:b/>
      </w:rPr>
      <w:fldChar w:fldCharType="end"/>
    </w:r>
  </w:p>
  <w:p>
    <w:pPr>
      <w:pStyle w:val="39"/>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character" w:default="1" w:styleId="10">
    <w:name w:val="Default Paragraph Font"/>
  </w:style>
  <w:style w:type="paragraph" w:customStyle="1" w:styleId="15">
    <w:name w:val="样式 2 10 磅"/>
    <w:next w:val="0"/>
    <w:pPr>
      <w:widowControl w:val="0"/>
      <w:jc w:val="both"/>
    </w:pPr>
    <w:rPr>
      <w:rFonts w:ascii="Times New Roman" w:eastAsia="宋体" w:cs="Times New Roman" w:hAnsi="Times New Roman"/>
      <w:kern w:val="2"/>
      <w:sz w:val="21"/>
      <w:szCs w:val="24"/>
      <w:lang w:val="en-US" w:eastAsia="zh-CN" w:bidi="ar-SA"/>
    </w:rPr>
  </w:style>
  <w:style w:type="paragraph" w:customStyle="1" w:styleId="16">
    <w:name w:val="Default"/>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character" w:customStyle="1" w:styleId="17">
    <w:name w:val="im-content1"/>
    <w:rPr>
      <w:color w:val="000000"/>
    </w:rPr>
  </w:style>
  <w:style w:type="paragraph" w:customStyle="1" w:styleId="1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19">
    <w:name w:val="样式 1 10 磅"/>
    <w:pPr>
      <w:widowControl w:val="0"/>
      <w:jc w:val="both"/>
    </w:pPr>
    <w:rPr>
      <w:rFonts w:ascii="Times New Roman" w:eastAsia="宋体" w:cs="Times New Roman" w:hAnsi="Times New Roman"/>
      <w:kern w:val="2"/>
      <w:sz w:val="21"/>
      <w:szCs w:val="24"/>
      <w:lang w:val="en-US" w:eastAsia="zh-CN" w:bidi="ar-SA"/>
    </w:rPr>
  </w:style>
  <w:style w:type="paragraph" w:styleId="20">
    <w:name w:val="toc 3"/>
    <w:basedOn w:val="0"/>
    <w:autoRedefine/>
    <w:next w:val="0"/>
    <w:pPr>
      <w:ind w:left="840"/>
    </w:pPr>
  </w:style>
  <w:style w:type="paragraph" w:styleId="21">
    <w:name w:val="toc 4"/>
    <w:basedOn w:val="0"/>
    <w:autoRedefine/>
    <w:next w:val="0"/>
    <w:pPr>
      <w:ind w:left="1260"/>
    </w:pPr>
  </w:style>
  <w:style w:type="paragraph" w:styleId="22">
    <w:name w:val="toc 5"/>
    <w:basedOn w:val="0"/>
    <w:autoRedefine/>
    <w:next w:val="0"/>
    <w:pPr>
      <w:ind w:left="1680"/>
    </w:pPr>
  </w:style>
  <w:style w:type="paragraph" w:styleId="23">
    <w:name w:val="toc 6"/>
    <w:basedOn w:val="0"/>
    <w:autoRedefine/>
    <w:next w:val="0"/>
    <w:pPr>
      <w:ind w:left="2100"/>
    </w:pPr>
  </w:style>
  <w:style w:type="paragraph" w:customStyle="1" w:styleId="24">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25">
    <w:name w:val="样式 三号"/>
    <w:pPr>
      <w:widowControl w:val="0"/>
      <w:jc w:val="both"/>
    </w:pPr>
    <w:rPr>
      <w:rFonts w:ascii="Times New Roman" w:eastAsia="方正仿宋_GBK" w:cs="Times New Roman" w:hAnsi="Times New Roman"/>
      <w:kern w:val="2"/>
      <w:sz w:val="32"/>
      <w:lang w:val="en-US" w:eastAsia="zh-CN" w:bidi="ar-SA"/>
    </w:rPr>
  </w:style>
  <w:style w:type="paragraph" w:customStyle="1" w:styleId="26">
    <w:name w:val="样式 5 小四"/>
    <w:next w:val="20"/>
    <w:rPr>
      <w:rFonts w:ascii="Times New Roman" w:eastAsia="宋体" w:cs="Times New Roman" w:hAnsi="Times New Roman"/>
      <w:sz w:val="24"/>
      <w:szCs w:val="24"/>
      <w:lang w:val="en-US" w:eastAsia="zh-CN" w:bidi="ar-SA"/>
    </w:rPr>
  </w:style>
  <w:style w:type="paragraph" w:customStyle="1" w:styleId="27">
    <w:name w:val="样式 6 小四"/>
    <w:next w:val="21"/>
    <w:rPr>
      <w:rFonts w:ascii="Times New Roman" w:eastAsia="宋体" w:cs="Times New Roman" w:hAnsi="Times New Roman"/>
      <w:sz w:val="24"/>
      <w:szCs w:val="24"/>
      <w:lang w:val="en-US" w:eastAsia="zh-CN" w:bidi="ar-SA"/>
    </w:rPr>
  </w:style>
  <w:style w:type="paragraph" w:customStyle="1" w:styleId="28">
    <w:name w:val="样式 2 三号"/>
    <w:next w:val="22"/>
    <w:pPr>
      <w:jc w:val="both"/>
    </w:pPr>
    <w:rPr>
      <w:rFonts w:ascii="Times New Roman" w:eastAsia="宋体" w:cs="Times New Roman" w:hAnsi="Times New Roman"/>
      <w:sz w:val="32"/>
      <w:szCs w:val="32"/>
      <w:lang w:val="en-US" w:eastAsia="zh-CN" w:bidi="ar-SA"/>
    </w:rPr>
  </w:style>
  <w:style w:type="paragraph" w:customStyle="1" w:styleId="29">
    <w:name w:val="样式 7 小四"/>
    <w:next w:val="23"/>
    <w:rPr>
      <w:rFonts w:ascii="宋体" w:eastAsia="宋体" w:cs="宋体"/>
      <w:sz w:val="24"/>
      <w:szCs w:val="24"/>
      <w:lang w:val="en-US" w:eastAsia="zh-CN" w:bidi="ar-SA"/>
    </w:rPr>
  </w:style>
  <w:style w:type="paragraph" w:customStyle="1" w:styleId="30">
    <w:name w:val="样式 1 三号"/>
    <w:pPr>
      <w:widowControl w:val="0"/>
      <w:jc w:val="both"/>
    </w:pPr>
    <w:rPr>
      <w:rFonts w:ascii="Times New Roman" w:eastAsia="方正仿宋_GBK" w:cs="Times New Roman" w:hAnsi="Times New Roman"/>
      <w:kern w:val="2"/>
      <w:sz w:val="32"/>
      <w:lang w:val="en-US" w:eastAsia="zh-CN" w:bidi="ar-SA"/>
    </w:rPr>
  </w:style>
  <w:style w:type="paragraph" w:customStyle="1" w:styleId="31">
    <w:name w:val="样式 小三"/>
    <w:pPr>
      <w:widowControl w:val="0"/>
      <w:jc w:val="both"/>
    </w:pPr>
    <w:rPr>
      <w:rFonts w:ascii="Times New Roman" w:eastAsia="仿宋_GB2312" w:cs="Times New Roman" w:hAnsi="Times New Roman"/>
      <w:kern w:val="2"/>
      <w:sz w:val="30"/>
      <w:szCs w:val="30"/>
      <w:lang w:val="en-US" w:eastAsia="zh-CN" w:bidi="ar-SA"/>
    </w:rPr>
  </w:style>
  <w:style w:type="paragraph" w:customStyle="1" w:styleId="32">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小四"/>
    <w:pPr>
      <w:widowControl w:val="0"/>
    </w:pPr>
    <w:rPr>
      <w:rFonts w:ascii="宋体" w:eastAsia="宋体" w:cs="Times New Roman"/>
      <w:kern w:val="2"/>
      <w:sz w:val="24"/>
      <w:szCs w:val="21"/>
      <w:lang w:val="en-US" w:eastAsia="zh-CN" w:bidi="ar-SA"/>
    </w:rPr>
  </w:style>
  <w:style w:type="paragraph" w:styleId="37">
    <w:name w:val="Balloon Text"/>
    <w:basedOn w:val="0"/>
    <w:rPr>
      <w:sz w:val="18"/>
      <w:szCs w:val="18"/>
    </w:rPr>
  </w:style>
  <w:style w:type="paragraph" w:styleId="38">
    <w:name w:val="header"/>
    <w:basedOn w:val="0"/>
    <w:pPr>
      <w:pBdr>
        <w:bottom w:val="single" w:sz="6" w:space="1" w:color="auto"/>
      </w:pBdr>
      <w:tabs>
        <w:tab w:val="center" w:pos="4153"/>
        <w:tab w:val="right" w:pos="8306"/>
      </w:tabs>
      <w:snapToGrid w:val="0"/>
      <w:jc w:val="center"/>
    </w:pPr>
    <w:rPr>
      <w:sz w:val="18"/>
      <w:szCs w:val="18"/>
    </w:rPr>
  </w:style>
  <w:style w:type="paragraph" w:styleId="39">
    <w:name w:val="footer"/>
    <w:basedOn w:val="0"/>
    <w:pPr>
      <w:tabs>
        <w:tab w:val="center" w:pos="4153"/>
        <w:tab w:val="right" w:pos="8306"/>
      </w:tabs>
      <w:snapToGrid w:val="0"/>
      <w:jc w:val="left"/>
    </w:pPr>
    <w:rPr>
      <w:sz w:val="18"/>
      <w:szCs w:val="18"/>
    </w:rPr>
  </w:style>
  <w:style w:type="paragraph" w:customStyle="1" w:styleId="40">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 小四"/>
    <w:pPr>
      <w:widowControl w:val="0"/>
      <w:autoSpaceDE w:val="0"/>
      <w:autoSpaceDN w:val="0"/>
      <w:adjustRightInd w:val="0"/>
    </w:pPr>
    <w:rPr>
      <w:rFonts w:ascii="Times New Roman" w:eastAsia="宋体" w:cs="Times New Roman" w:hAnsi="Times New Roman"/>
      <w:color w:val="000000"/>
      <w:sz w:val="24"/>
      <w:szCs w:val="24"/>
      <w:lang w:val="en-US" w:eastAsia="zh-CN" w:bidi="ar-SA"/>
    </w:rPr>
  </w:style>
  <w:style w:type="paragraph" w:customStyle="1" w:styleId="55">
    <w:name w:val="样式 1 小三"/>
    <w:pPr>
      <w:widowControl w:val="0"/>
      <w:jc w:val="both"/>
    </w:pPr>
    <w:rPr>
      <w:rFonts w:ascii="Times New Roman" w:eastAsia="仿宋_GB2312" w:cs="Times New Roman" w:hAnsi="Times New Roman"/>
      <w:kern w:val="2"/>
      <w:sz w:val="30"/>
      <w:szCs w:val="30"/>
      <w:lang w:val="en-US" w:eastAsia="zh-CN" w:bidi="ar-SA"/>
    </w:rPr>
  </w:style>
  <w:style w:type="paragraph" w:styleId="56">
    <w:name w:val="Body Text"/>
    <w:pPr>
      <w:widowControl w:val="0"/>
      <w:autoSpaceDE w:val="0"/>
      <w:autoSpaceDN w:val="0"/>
    </w:pPr>
    <w:rPr>
      <w:rFonts w:ascii="仿宋" w:eastAsia="仿宋" w:cs="仿宋"/>
      <w:sz w:val="32"/>
      <w:szCs w:val="32"/>
      <w:lang w:val="zh-CN" w:eastAsia="zh-CN" w:bidi="ar-SA"/>
    </w:rPr>
  </w:style>
  <w:style w:type="paragraph" w:customStyle="1" w:styleId="57">
    <w:name w:val="样式 3 三号"/>
    <w:next w:val="59"/>
    <w:pPr>
      <w:widowControl w:val="0"/>
      <w:jc w:val="both"/>
    </w:pPr>
    <w:rPr>
      <w:rFonts w:ascii="Times New Roman" w:eastAsia="方正仿宋_GBK" w:cs="Times New Roman" w:hAnsi="Times New Roman"/>
      <w:kern w:val="2"/>
      <w:sz w:val="32"/>
      <w:lang w:val="en-US" w:eastAsia="zh-CN" w:bidi="ar-SA"/>
    </w:rPr>
  </w:style>
  <w:style w:type="paragraph" w:customStyle="1" w:styleId="58">
    <w:name w:val="样式 71 三号"/>
    <w:next w:val="16"/>
    <w:pPr>
      <w:widowControl w:val="0"/>
      <w:autoSpaceDE w:val="0"/>
      <w:autoSpaceDN w:val="0"/>
    </w:pPr>
    <w:rPr>
      <w:rFonts w:ascii="仿宋" w:eastAsia="仿宋" w:cs="仿宋"/>
      <w:sz w:val="32"/>
      <w:szCs w:val="32"/>
      <w:lang w:val="zh-CN" w:eastAsia="zh-CN" w:bidi="ar-SA"/>
    </w:rPr>
  </w:style>
  <w:style w:type="paragraph" w:customStyle="1" w:styleId="59">
    <w:name w:val="样式 3 三号"/>
    <w:pPr>
      <w:widowControl w:val="0"/>
      <w:jc w:val="both"/>
    </w:pPr>
    <w:rPr>
      <w:rFonts w:ascii="Times New Roman" w:eastAsia="方正仿宋_GBK" w:cs="Times New Roman" w:hAnsi="Times New Roman"/>
      <w:kern w:val="2"/>
      <w:sz w:val="32"/>
      <w:lang w:val="en-US" w:eastAsia="zh-CN" w:bidi="ar-SA"/>
    </w:rPr>
  </w:style>
  <w:style w:type="paragraph" w:customStyle="1" w:styleId="60">
    <w:name w:val="样式 3073 10 磅"/>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TOC 标题1"/>
    <w:basedOn w:val="1"/>
    <w:next w:val="0"/>
    <w:pPr>
      <w:keepNext/>
      <w:keepLines/>
      <w:widowControl/>
      <w:spacing w:before="480" w:after="0" w:line="276" w:lineRule="auto"/>
      <w:jc w:val="left"/>
      <w:outlineLvl w:val="9"/>
    </w:pPr>
    <w:rPr>
      <w:rFonts w:ascii="Cambria" w:hAnsi="Cambria"/>
      <w:color w:val="365F91"/>
      <w:kern w:val="0"/>
      <w:sz w:val="28"/>
      <w:szCs w:val="28"/>
    </w:rPr>
  </w:style>
  <w:style w:type="paragraph" w:styleId="62">
    <w:name w:val="toc 2"/>
    <w:basedOn w:val="0"/>
    <w:autoRedefine/>
    <w:next w:val="0"/>
    <w:pPr>
      <w:widowControl/>
      <w:spacing w:after="100" w:line="276" w:lineRule="auto"/>
      <w:ind w:left="220"/>
      <w:jc w:val="left"/>
    </w:pPr>
    <w:rPr>
      <w:rFonts w:ascii="Calibri" w:hAnsi="Calibri"/>
      <w:kern w:val="0"/>
      <w:sz w:val="22"/>
      <w:szCs w:val="22"/>
    </w:rPr>
  </w:style>
  <w:style w:type="paragraph" w:styleId="63">
    <w:name w:val="toc 1"/>
    <w:basedOn w:val="0"/>
    <w:autoRedefine/>
    <w:next w:val="0"/>
    <w:pPr>
      <w:widowControl/>
      <w:spacing w:after="100" w:line="276" w:lineRule="auto"/>
      <w:jc w:val="left"/>
    </w:pPr>
    <w:rPr>
      <w:rFonts w:ascii="Calibri" w:hAnsi="Calibri"/>
      <w:kern w:val="0"/>
      <w:sz w:val="22"/>
      <w:szCs w:val="22"/>
    </w:rPr>
  </w:style>
  <w:style w:type="paragraph" w:customStyle="1" w:styleId="64">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2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jpeg"/><Relationship Id="rId5" Type="http://schemas.openxmlformats.org/officeDocument/2006/relationships/image" Target="media/5.jpeg"/><Relationship Id="rId6" Type="http://schemas.openxmlformats.org/officeDocument/2006/relationships/image" Target="media/8.jpeg"/><Relationship Id="rId7" Type="http://schemas.openxmlformats.org/officeDocument/2006/relationships/image" Target="media/11.jpeg"/><Relationship Id="rId8" Type="http://schemas.openxmlformats.org/officeDocument/2006/relationships/image" Target="media/14.jpeg"/><Relationship Id="rId9" Type="http://schemas.openxmlformats.org/officeDocument/2006/relationships/image" Target="media/17.jpeg"/><Relationship Id="rId10" Type="http://schemas.openxmlformats.org/officeDocument/2006/relationships/image" Target="media/20.emf"/><Relationship Id="rId11" Type="http://schemas.openxmlformats.org/officeDocument/2006/relationships/image" Target="media/23.emf"/><Relationship Id="rId12" Type="http://schemas.openxmlformats.org/officeDocument/2006/relationships/image" Target="media/26.emf"/><Relationship Id="rId13" Type="http://schemas.openxmlformats.org/officeDocument/2006/relationships/image" Target="media/29.png"/><Relationship Id="rId14" Type="http://schemas.openxmlformats.org/officeDocument/2006/relationships/image" Target="media/32.emf"/><Relationship Id="rId15" Type="http://schemas.openxmlformats.org/officeDocument/2006/relationships/image" Target="media/35.emf"/><Relationship Id="rId16" Type="http://schemas.openxmlformats.org/officeDocument/2006/relationships/styles" Target="styles.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1588</TotalTime>
  <Application>Yozo_Office</Application>
  <Pages>44</Pages>
  <Words>8507</Words>
  <Characters>10392</Characters>
  <Lines>1850</Lines>
  <Paragraphs>800</Paragraphs>
  <CharactersWithSpaces>10960</CharactersWithSpaces>
  <Company>ms</Company>
</Properties>
</file>

<file path=docProps/core.xml><?xml version="1.0" encoding="utf-8"?>
<cp:coreProperties xmlns:cp="http://schemas.openxmlformats.org/package/2006/metadata/core-properties" xmlns:dc="http://purl.org/dc/elements/1.1/" xmlns:dcterms="http://purl.org/dc/terms/" xmlns:xsi="http://www.w3.org/2001/XMLSchema-instance">
  <dc:title>海关总署2019年度</dc:title>
  <dc:creator>lu_wei</dc:creator>
  <cp:lastModifiedBy>孙畅</cp:lastModifiedBy>
  <cp:revision>31</cp:revision>
  <cp:lastPrinted>2023-08-14T09:23:00Z</cp:lastPrinted>
  <dcterms:created xsi:type="dcterms:W3CDTF">2024-08-14T08:14:00Z</dcterms:created>
  <dcterms:modified xsi:type="dcterms:W3CDTF">2026-08-21T06:48:39Z</dcterms:modified>
</cp:coreProperties>
</file>