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  <w:widowControl/>
        <w:spacing w:before="100" w:beforeAutospacing="1" w:after="100" w:afterAutospacing="1" w:line="240" w:lineRule="auto"/>
        <w:jc w:val="center"/>
        <w:rPr>
          <w:rFonts w:ascii="方正小标宋_GBK" w:eastAsia="方正小标宋_GBK" w:cs="方正小标宋_GBK" w:hint="eastAsia"/>
          <w:kern w:val="0"/>
          <w:sz w:val="36"/>
          <w:szCs w:val="36"/>
        </w:rPr>
      </w:pPr>
      <w:bookmarkStart w:id="0" w:name="_GoBack"/>
      <w:bookmarkEnd w:id="0"/>
      <w:r>
        <w:rPr>
          <w:rFonts w:ascii="方正小标宋_GBK" w:eastAsia="方正小标宋_GBK" w:cs="方正小标宋_GBK" w:hint="eastAsia"/>
          <w:kern w:val="0"/>
          <w:sz w:val="36"/>
          <w:szCs w:val="36"/>
        </w:rPr>
        <w:t>中华人民共和国海关预裁定决定书</w:t>
      </w:r>
    </w:p>
    <w:p>
      <w:pPr>
        <w:pStyle w:val="18"/>
        <w:widowControl/>
        <w:spacing w:before="100" w:beforeAutospacing="1" w:after="100" w:afterAutospacing="1" w:line="240" w:lineRule="auto"/>
        <w:jc w:val="center"/>
        <w:rPr>
          <w:rFonts w:ascii="方正小标宋_GBK" w:eastAsia="方正小标宋_GBK" w:hint="eastAsia"/>
          <w:kern w:val="0"/>
        </w:rPr>
      </w:pPr>
      <w:r>
        <w:rPr>
          <w:rFonts w:ascii="方正小标宋_GBK" w:eastAsia="方正小标宋_GBK" w:cs="方正小标宋_GBK" w:hint="eastAsia"/>
          <w:kern w:val="0"/>
        </w:rPr>
        <w:t>（商品归类）</w:t>
      </w:r>
    </w:p>
    <w:p>
      <w:pPr>
        <w:pStyle w:val="18"/>
        <w:widowControl/>
        <w:spacing w:before="100" w:beforeAutospacing="1" w:after="100" w:afterAutospacing="1" w:line="240" w:lineRule="auto"/>
        <w:jc w:val="center"/>
        <w:rPr>
          <w:rFonts w:ascii="宋体" w:eastAsia="宋体" w:hint="eastAsia"/>
          <w:kern w:val="0"/>
          <w:sz w:val="21"/>
          <w:szCs w:val="21"/>
        </w:rPr>
      </w:pPr>
      <w:r>
        <w:rPr>
          <w:rFonts w:ascii="宋体" w:eastAsia="宋体" w:cs="方正仿宋_GBK" w:hint="eastAsia"/>
          <w:kern w:val="0"/>
          <w:sz w:val="21"/>
          <w:szCs w:val="21"/>
        </w:rPr>
        <w:t>编号:</w:t>
      </w:r>
      <w:r>
        <w:rPr>
          <w:rFonts w:ascii="宋体" w:eastAsia="宋体" w:hint="eastAsia"/>
          <w:kern w:val="0"/>
          <w:sz w:val="21"/>
          <w:szCs w:val="21"/>
          <w:u w:val="single"/>
        </w:rPr>
        <w:t>  </w:t>
      </w:r>
      <w:r>
        <w:rPr>
          <w:rFonts w:ascii="宋体" w:eastAsia="宋体" w:cs="宋体" w:hint="eastAsia"/>
          <w:kern w:val="0"/>
          <w:sz w:val="21"/>
          <w:szCs w:val="21"/>
        </w:rPr>
        <w:t xml:space="preserve"> </w:t>
      </w:r>
    </w:p>
    <w:tbl>
      <w:tblPr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6"/>
        <w:gridCol w:w="3736"/>
      </w:tblGrid>
      <w:tr>
        <w:tc>
          <w:tcPr>
            <w:tcW w:w="85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申请人：</w:t>
            </w:r>
          </w:p>
        </w:tc>
      </w:tr>
      <w:t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企业代码：</w:t>
            </w:r>
          </w:p>
        </w:tc>
      </w:tr>
      <w:t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统一社会信用代码：</w:t>
            </w:r>
          </w:p>
        </w:tc>
      </w:tr>
      <w:t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通讯地址：</w:t>
            </w:r>
          </w:p>
        </w:tc>
      </w:tr>
      <w:t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联系电话：</w:t>
            </w:r>
          </w:p>
        </w:tc>
      </w:tr>
      <w:t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商品名称（中、英文）：</w:t>
            </w:r>
          </w:p>
        </w:tc>
      </w:tr>
      <w:t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其他名称：</w:t>
            </w:r>
          </w:p>
        </w:tc>
      </w:tr>
      <w:t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申请书编号：</w:t>
            </w:r>
            <w:r>
              <w:rPr>
                <w:rFonts w:ascii="宋体" w:eastAsia="宋体" w:cs="宋体" w:hint="eastAsia"/>
                <w:kern w:val="0"/>
                <w:sz w:val="21"/>
                <w:szCs w:val="21"/>
                <w:u w:val="single"/>
              </w:rPr>
              <w:t xml:space="preserve">                            </w:t>
            </w:r>
            <w:r>
              <w:rPr>
                <w:rFonts w:ascii="宋体" w:eastAsia="宋体" w:hint="eastAsia"/>
                <w:b/>
                <w:bCs/>
                <w:kern w:val="0"/>
                <w:sz w:val="21"/>
                <w:szCs w:val="21"/>
              </w:rPr>
              <w:t> </w:t>
            </w:r>
            <w:r>
              <w:rPr>
                <w:rFonts w:ascii="宋体" w:eastAsia="宋体" w:cs="宋体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  <w:p>
            <w:pPr>
              <w:pStyle w:val="18"/>
              <w:widowControl/>
              <w:spacing w:before="100" w:beforeAutospacing="1" w:after="100" w:afterAutospacing="1" w:line="320" w:lineRule="exac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受理日期：</w:t>
            </w:r>
            <w:r>
              <w:rPr>
                <w:rFonts w:ascii="宋体" w:eastAsia="宋体" w:cs="宋体" w:hint="eastAsia"/>
                <w:kern w:val="0"/>
                <w:sz w:val="21"/>
                <w:szCs w:val="21"/>
              </w:rPr>
              <w:t xml:space="preserve">         </w:t>
            </w: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 xml:space="preserve">年 </w:t>
            </w:r>
            <w:r>
              <w:rPr>
                <w:rFonts w:ascii="宋体" w:eastAsia="宋体" w:hint="eastAsia"/>
                <w:kern w:val="0"/>
                <w:sz w:val="21"/>
                <w:szCs w:val="21"/>
              </w:rPr>
              <w:t>    </w:t>
            </w:r>
            <w:r>
              <w:rPr>
                <w:rFonts w:ascii="宋体" w:eastAsia="宋体" w:cs="宋体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eastAsia="宋体" w:cs="宋体" w:hint="eastAsia"/>
                <w:kern w:val="0"/>
                <w:sz w:val="21"/>
                <w:szCs w:val="21"/>
              </w:rPr>
              <w:t xml:space="preserve">      </w:t>
            </w: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日</w:t>
            </w:r>
          </w:p>
        </w:tc>
      </w:tr>
      <w:tr>
        <w:trPr>
          <w:trHeight w:val="697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</w:tcPr>
          <w:p>
            <w:pPr>
              <w:pStyle w:val="18"/>
              <w:widowControl/>
              <w:spacing w:before="100" w:beforeAutospacing="1" w:after="100" w:afterAutospacing="1" w:line="320" w:lineRule="exact"/>
              <w:jc w:val="lef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商品描述：</w:t>
            </w:r>
          </w:p>
        </w:tc>
      </w:tr>
      <w:tr>
        <w:trPr>
          <w:trHeight w:val="17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</w:tcPr>
          <w:p>
            <w:pPr>
              <w:pStyle w:val="18"/>
              <w:widowControl/>
              <w:spacing w:before="100" w:beforeAutospacing="1" w:after="100" w:afterAutospacing="1" w:line="320" w:lineRule="exact"/>
              <w:jc w:val="lef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预裁定（8位税则号列）：</w:t>
            </w:r>
          </w:p>
          <w:p>
            <w:pPr>
              <w:pStyle w:val="18"/>
              <w:widowControl/>
              <w:spacing w:before="100" w:beforeAutospacing="1" w:after="100" w:afterAutospacing="1" w:line="320" w:lineRule="exact"/>
              <w:jc w:val="lef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int="eastAsia"/>
                <w:kern w:val="0"/>
                <w:sz w:val="21"/>
                <w:szCs w:val="21"/>
              </w:rPr>
              <w:t xml:space="preserve">    </w:t>
            </w:r>
            <w:r>
              <w:rPr>
                <w:rFonts w:ascii="宋体" w:eastAsia="宋体" w:cs="宋体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 w:val="21"/>
                <w:szCs w:val="21"/>
              </w:rPr>
              <w:t>根据《中华人民共和国海关进出口货物商品归类管理规定》（海关总署令第252号）的有关规定，</w:t>
            </w:r>
            <w:r>
              <w:rPr>
                <w:rFonts w:ascii="宋体" w:eastAsia="宋体" w:hint="eastAsia"/>
                <w:kern w:val="0"/>
                <w:sz w:val="21"/>
                <w:szCs w:val="21"/>
              </w:rPr>
              <w:t>该商品应归入________。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tcMar>
              <w:left w:w="108" w:type="dxa"/>
              <w:right w:w="108" w:type="dxa"/>
            </w:tcMar>
          </w:tcPr>
          <w:p>
            <w:pPr>
              <w:pStyle w:val="18"/>
              <w:widowControl/>
              <w:spacing w:before="100" w:beforeAutospacing="1" w:after="100" w:afterAutospacing="1" w:line="320" w:lineRule="exact"/>
              <w:jc w:val="lef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int="eastAsia"/>
                <w:kern w:val="0"/>
                <w:sz w:val="21"/>
                <w:szCs w:val="21"/>
              </w:rPr>
              <w:t> </w:t>
            </w:r>
          </w:p>
          <w:p>
            <w:pPr>
              <w:pStyle w:val="18"/>
              <w:widowControl/>
              <w:spacing w:before="100" w:beforeAutospacing="1" w:after="100" w:afterAutospacing="1" w:line="320" w:lineRule="exact"/>
              <w:ind w:firstLineChars="1200" w:firstLine="2424"/>
              <w:jc w:val="righ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int="eastAsia"/>
                <w:kern w:val="0"/>
                <w:sz w:val="21"/>
                <w:szCs w:val="21"/>
              </w:rPr>
              <w:t> </w:t>
            </w: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（公章）</w:t>
            </w:r>
          </w:p>
          <w:p>
            <w:pPr>
              <w:pStyle w:val="18"/>
              <w:widowControl/>
              <w:spacing w:before="100" w:beforeAutospacing="1" w:after="100" w:afterAutospacing="1" w:line="320" w:lineRule="exact"/>
              <w:jc w:val="right"/>
              <w:rPr>
                <w:rFonts w:ascii="宋体" w:eastAsia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年</w:t>
            </w:r>
            <w:r>
              <w:rPr>
                <w:rFonts w:ascii="宋体" w:eastAsia="宋体" w:hint="eastAsia"/>
                <w:kern w:val="0"/>
                <w:sz w:val="21"/>
                <w:szCs w:val="21"/>
              </w:rPr>
              <w:t> </w:t>
            </w:r>
            <w:r>
              <w:rPr>
                <w:rFonts w:ascii="宋体" w:eastAsia="宋体" w:cs="宋体" w:hint="eastAsia"/>
                <w:kern w:val="0"/>
                <w:sz w:val="21"/>
                <w:szCs w:val="21"/>
              </w:rPr>
              <w:t xml:space="preserve">    </w:t>
            </w: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eastAsia="宋体" w:hint="eastAsia"/>
                <w:kern w:val="0"/>
                <w:sz w:val="21"/>
                <w:szCs w:val="21"/>
              </w:rPr>
              <w:t xml:space="preserve">    </w:t>
            </w:r>
            <w:r>
              <w:rPr>
                <w:rFonts w:ascii="宋体" w:eastAsia="宋体" w:cs="宋体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cs="方正仿宋_GBK" w:hint="eastAsia"/>
                <w:kern w:val="0"/>
                <w:sz w:val="21"/>
                <w:szCs w:val="21"/>
              </w:rPr>
              <w:t>日</w:t>
            </w:r>
          </w:p>
        </w:tc>
      </w:tr>
    </w:tbl>
    <w:p>
      <w:pPr>
        <w:pStyle w:val="18"/>
        <w:spacing w:line="360" w:lineRule="exact"/>
        <w:rPr>
          <w:rFonts w:ascii="宋体" w:eastAsia="宋体" w:cs="方正仿宋_GBK" w:hint="eastAsia"/>
          <w:sz w:val="21"/>
          <w:szCs w:val="21"/>
        </w:rPr>
      </w:pPr>
      <w:r>
        <w:rPr>
          <w:rFonts w:ascii="宋体" w:eastAsia="宋体" w:cs="方正仿宋_GBK" w:hint="eastAsia"/>
          <w:sz w:val="21"/>
          <w:szCs w:val="21"/>
        </w:rPr>
        <w:t>告知：1、本预裁定决定自送达之日起生效，有效期3年。</w:t>
      </w:r>
    </w:p>
    <w:p>
      <w:pPr>
        <w:pStyle w:val="18"/>
        <w:spacing w:line="360" w:lineRule="exact"/>
        <w:ind w:firstLineChars="300" w:firstLine="606"/>
        <w:rPr>
          <w:rFonts w:ascii="方正小标宋_GBK" w:eastAsia="方正小标宋_GBK" w:cs="方正小标宋_GBK" w:hint="eastAsia"/>
          <w:kern w:val="0"/>
          <w:sz w:val="36"/>
          <w:szCs w:val="36"/>
        </w:rPr>
      </w:pPr>
      <w:r>
        <w:rPr>
          <w:rFonts w:ascii="宋体" w:eastAsia="宋体" w:cs="方正仿宋_GBK" w:hint="eastAsia"/>
          <w:sz w:val="21"/>
          <w:szCs w:val="21"/>
        </w:rPr>
        <w:t>2、</w:t>
      </w:r>
      <w:r>
        <w:rPr>
          <w:rFonts w:ascii="宋体" w:eastAsia="宋体" w:hint="eastAsia"/>
          <w:sz w:val="21"/>
          <w:szCs w:val="21"/>
        </w:rPr>
        <w:t>申请人对预裁定决定不服的，可以</w:t>
      </w:r>
      <w:r>
        <w:rPr>
          <w:rFonts w:ascii="宋体" w:eastAsia="宋体" w:hint="eastAsia"/>
          <w:color w:val="000000"/>
          <w:spacing w:val="-3"/>
          <w:sz w:val="21"/>
          <w:szCs w:val="21"/>
        </w:rPr>
        <w:t>依照《中华人民共和国行政复议法》第二十条、第二十二条、第二十三条、第二十七条,《中华人民共和国海关法》第六十四条，</w:t>
      </w:r>
      <w:r>
        <w:rPr>
          <w:rFonts w:ascii="宋体" w:eastAsia="宋体" w:hint="eastAsia"/>
          <w:spacing w:val="-3"/>
          <w:sz w:val="21"/>
          <w:szCs w:val="21"/>
        </w:rPr>
        <w:t>自</w:t>
      </w:r>
      <w:r>
        <w:rPr>
          <w:rFonts w:ascii="宋体" w:eastAsia="宋体" w:hint="eastAsia"/>
          <w:sz w:val="21"/>
          <w:szCs w:val="21"/>
        </w:rPr>
        <w:t>收到本决定之日起六十日内向海关总署提出行政复议申请，因不可抗力或者其他正当理由耽误法定申请期限的，申请期限自障碍消除之日起继续计算。申请人通过互联网渠道提交行政复议申请书的，可发送至海关总署行政复议专用邮箱</w:t>
      </w:r>
      <w:r>
        <w:rPr>
          <w:rStyle w:val="19Char"/>
          <w:rFonts w:ascii="宋体" w:hint="eastAsia"/>
          <w:color w:val="auto"/>
          <w:szCs w:val="21"/>
          <w:u w:val="none"/>
        </w:rPr>
        <w:fldChar w:fldCharType="begin"/>
      </w:r>
      <w:r>
        <w:instrText>HYPERLINK "mailto:cgacxzfy@customs.gov.cn"</w:instrText>
      </w:r>
      <w:r>
        <w:rPr>
          <w:rStyle w:val="19Char"/>
          <w:rFonts w:ascii="宋体" w:hint="eastAsia"/>
          <w:color w:val="auto"/>
          <w:szCs w:val="21"/>
          <w:u w:val="none"/>
        </w:rPr>
        <w:fldChar w:fldCharType="separate"/>
      </w:r>
      <w:r>
        <w:rPr>
          <w:rStyle w:val="19Char"/>
          <w:rFonts w:ascii="宋体" w:hint="eastAsia"/>
          <w:color w:val="auto"/>
          <w:szCs w:val="21"/>
          <w:u w:val="none"/>
        </w:rPr>
        <w:t>cgacxzfy@customs.gov.cn</w:t>
      </w:r>
      <w:r>
        <w:rPr>
          <w:rStyle w:val="19Char"/>
          <w:rFonts w:ascii="宋体" w:hint="eastAsia"/>
          <w:color w:val="auto"/>
          <w:szCs w:val="21"/>
          <w:u w:val="none"/>
        </w:rPr>
        <w:fldChar w:fldCharType="end"/>
      </w:r>
      <w:r>
        <w:rPr>
          <w:rFonts w:ascii="宋体" w:eastAsia="宋体" w:hint="eastAsia"/>
          <w:sz w:val="21"/>
          <w:szCs w:val="21"/>
        </w:rPr>
        <w:t>。对复议决定不服的，依照《中华人民共和国行政诉讼法》第四十五条之规定，可以自收到复议决定书之日起十五日内，向人民法院提起诉讼。</w:t>
      </w:r>
    </w:p>
    <w:p/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30"/>
  <w:doNotDisplayPageBoundaries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character" w:styleId="15">
    <w:name w:val="endnote reference"/>
    <w:basedOn w:val="10"/>
    <w:rPr>
      <w:vertAlign w:val="superscript"/>
    </w:rPr>
  </w:style>
  <w:style w:type="character" w:styleId="16">
    <w:name w:val="Hyperlink"/>
    <w:basedOn w:val="10"/>
    <w:rPr>
      <w:color w:val="0000FF"/>
      <w:u w:val="single"/>
    </w:rPr>
  </w:style>
  <w:style w:type="paragraph" w:styleId="17">
    <w:name w:val="Normal (Web)"/>
    <w:basedOn w:val="0"/>
    <w:rPr>
      <w:sz w:val="24"/>
      <w:szCs w:val="24"/>
    </w:rPr>
  </w:style>
  <w:style w:type="paragraph" w:customStyle="1" w:styleId="18">
    <w:name w:val="样式 1 三号"/>
    <w:next w:val="15"/>
    <w:pPr>
      <w:widowControl w:val="0"/>
      <w:spacing w:line="560" w:lineRule="exact"/>
      <w:jc w:val="both"/>
    </w:pPr>
    <w:rPr>
      <w:rFonts w:ascii="Times New Roman" w:eastAsia="方正仿宋_GBK" w:cs="Times New Roman" w:hAnsi="Times New Roman"/>
      <w:spacing w:val="-4"/>
      <w:kern w:val="2"/>
      <w:sz w:val="32"/>
      <w:szCs w:val="32"/>
      <w:lang w:val="en-US" w:eastAsia="zh-CN" w:bidi="ar-SA"/>
    </w:rPr>
  </w:style>
  <w:style w:type="paragraph" w:customStyle="1" w:styleId="19">
    <w:name w:val="样式 41 10 磅"/>
    <w:next w:val="17"/>
    <w:link w:val="19Char"/>
    <w:pPr>
      <w:widowControl w:val="0"/>
      <w:jc w:val="both"/>
    </w:pPr>
    <w:rPr>
      <w:rFonts w:ascii="Times New Roman" w:eastAsia="宋体" w:cs="Times New Roman" w:hAnsi="Times New Roman"/>
      <w:color w:val="0000FF"/>
      <w:kern w:val="2"/>
      <w:sz w:val="21"/>
      <w:szCs w:val="24"/>
      <w:u w:val="single"/>
      <w:lang w:val="en-US" w:eastAsia="zh-CN" w:bidi="ar-SA"/>
    </w:rPr>
  </w:style>
  <w:style w:type="character" w:customStyle="1" w:styleId="19Char">
    <w:name w:val="样式 41 10 磅 Char"/>
    <w:basedOn w:val="10"/>
    <w:link w:val="19"/>
    <w:rPr>
      <w:rFonts w:ascii="Times New Roman" w:eastAsia="宋体" w:cs="Times New Roman" w:hAnsi="Times New Roman"/>
      <w:color w:val="0000FF"/>
      <w:kern w:val="2"/>
      <w:sz w:val="21"/>
      <w:szCs w:val="24"/>
      <w:u w:val="singl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424</Words>
  <Characters>455</Characters>
  <Lines>28</Lines>
  <Paragraphs>19</Paragraphs>
  <CharactersWithSpaces>526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刘筱婧</dc:creator>
  <cp:lastModifiedBy>刘筱婧</cp:lastModifiedBy>
  <cp:revision>1</cp:revision>
  <dcterms:created xsi:type="dcterms:W3CDTF">2026-07-07T09:09:21Z</dcterms:created>
  <dcterms:modified xsi:type="dcterms:W3CDTF">2026-07-07T09:10:41Z</dcterms:modified>
</cp:coreProperties>
</file>